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72E5" w:rsidRDefault="00CB72E5" w:rsidP="00373364">
      <w:pPr>
        <w:spacing w:line="576" w:lineRule="exact"/>
        <w:jc w:val="center"/>
        <w:rPr>
          <w:rFonts w:ascii="宋体" w:eastAsia="宋体" w:hAnsi="宋体"/>
          <w:sz w:val="44"/>
          <w:szCs w:val="44"/>
        </w:rPr>
      </w:pPr>
      <w:r w:rsidRPr="00373364">
        <w:rPr>
          <w:rFonts w:ascii="宋体" w:eastAsia="宋体" w:hAnsi="宋体" w:hint="eastAsia"/>
          <w:sz w:val="44"/>
          <w:szCs w:val="44"/>
        </w:rPr>
        <w:t>国务院关于加快科技服务业</w:t>
      </w:r>
    </w:p>
    <w:p w:rsidR="00CB72E5" w:rsidRPr="00373364" w:rsidRDefault="00CB72E5" w:rsidP="00373364">
      <w:pPr>
        <w:spacing w:line="576" w:lineRule="exact"/>
        <w:jc w:val="center"/>
        <w:rPr>
          <w:rFonts w:ascii="宋体" w:eastAsia="宋体" w:hAnsi="宋体"/>
          <w:sz w:val="44"/>
          <w:szCs w:val="44"/>
        </w:rPr>
      </w:pPr>
      <w:r w:rsidRPr="00373364">
        <w:rPr>
          <w:rFonts w:ascii="宋体" w:eastAsia="宋体" w:hAnsi="宋体" w:hint="eastAsia"/>
          <w:sz w:val="44"/>
          <w:szCs w:val="44"/>
        </w:rPr>
        <w:t>发展的若干意见</w:t>
      </w:r>
    </w:p>
    <w:p w:rsidR="00CB72E5" w:rsidRPr="00373364" w:rsidRDefault="00CB72E5" w:rsidP="00373364">
      <w:pPr>
        <w:spacing w:line="576" w:lineRule="exact"/>
        <w:jc w:val="center"/>
        <w:rPr>
          <w:rFonts w:ascii="仿宋" w:eastAsia="仿宋" w:hAnsi="仿宋"/>
          <w:sz w:val="28"/>
          <w:szCs w:val="28"/>
        </w:rPr>
      </w:pPr>
      <w:r w:rsidRPr="00373364">
        <w:rPr>
          <w:rFonts w:ascii="仿宋" w:eastAsia="仿宋" w:hAnsi="仿宋" w:hint="eastAsia"/>
          <w:sz w:val="28"/>
          <w:szCs w:val="28"/>
        </w:rPr>
        <w:t>国发〔</w:t>
      </w:r>
      <w:r w:rsidRPr="00373364">
        <w:rPr>
          <w:rFonts w:ascii="仿宋" w:eastAsia="仿宋" w:hAnsi="仿宋"/>
          <w:sz w:val="28"/>
          <w:szCs w:val="28"/>
        </w:rPr>
        <w:t>2014</w:t>
      </w:r>
      <w:r w:rsidRPr="00373364">
        <w:rPr>
          <w:rFonts w:ascii="仿宋" w:eastAsia="仿宋" w:hAnsi="仿宋" w:hint="eastAsia"/>
          <w:sz w:val="28"/>
          <w:szCs w:val="28"/>
        </w:rPr>
        <w:t>〕</w:t>
      </w:r>
      <w:r w:rsidRPr="00373364">
        <w:rPr>
          <w:rFonts w:ascii="仿宋" w:eastAsia="仿宋" w:hAnsi="仿宋"/>
          <w:sz w:val="28"/>
          <w:szCs w:val="28"/>
        </w:rPr>
        <w:t>49</w:t>
      </w:r>
      <w:r w:rsidRPr="00373364">
        <w:rPr>
          <w:rFonts w:ascii="仿宋" w:eastAsia="仿宋" w:hAnsi="仿宋" w:hint="eastAsia"/>
          <w:sz w:val="28"/>
          <w:szCs w:val="28"/>
        </w:rPr>
        <w:t>号</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各省、自治区、直辖市人民政府，国务院各部委、各直属机构：</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科技服务业是现代服务业的重要组成部分，具有人才智力密集、科技含量高、产业附加值大、辐射带动作用强等特点。近年来，我国科技服务业发展势头良好，服务内容不断丰富，服务模式不断创新，新型科技服务组织和服务业态不断涌现，服务质量和能力稳步提升。但总体上我国科技服务业仍处于发展初期，存在着市场主体发育不健全、服务机构专业化程度不高、高端服务业态较少、缺乏知名品牌、发展环境不完善、复合型人才缺乏等问题。加快科技服务业发展，是推动科技创新和科技成果转化、促进科技经济深度融合的客观要求，是调整优化产业结构、培育新经济增长点的重要举措，是实现科技创新引领产业升级、推动经济向中高端水平迈进的关键一环，对于深入实施创新驱动发展战略、推动经济提质增效升级具有重要意义。为加快推动科技服务业发展，现提出以下意见。</w:t>
      </w:r>
    </w:p>
    <w:p w:rsidR="00CB72E5" w:rsidRPr="00373364" w:rsidRDefault="00CB72E5" w:rsidP="00373364">
      <w:pPr>
        <w:spacing w:line="576" w:lineRule="exact"/>
        <w:ind w:firstLineChars="200" w:firstLine="31680"/>
        <w:rPr>
          <w:rFonts w:ascii="黑体" w:eastAsia="黑体" w:hAnsi="黑体"/>
          <w:sz w:val="28"/>
          <w:szCs w:val="28"/>
        </w:rPr>
      </w:pPr>
      <w:r w:rsidRPr="00373364">
        <w:rPr>
          <w:rFonts w:ascii="黑体" w:eastAsia="黑体" w:hAnsi="黑体" w:hint="eastAsia"/>
          <w:sz w:val="28"/>
          <w:szCs w:val="28"/>
        </w:rPr>
        <w:t>一、总体要求</w:t>
      </w:r>
    </w:p>
    <w:p w:rsidR="00CB72E5" w:rsidRPr="00373364" w:rsidRDefault="00CB72E5" w:rsidP="00373364">
      <w:pPr>
        <w:spacing w:line="576" w:lineRule="exact"/>
        <w:ind w:firstLineChars="150" w:firstLine="31680"/>
        <w:rPr>
          <w:rFonts w:ascii="仿宋" w:eastAsia="仿宋" w:hAnsi="仿宋"/>
          <w:sz w:val="28"/>
          <w:szCs w:val="28"/>
        </w:rPr>
      </w:pPr>
      <w:r w:rsidRPr="00373364">
        <w:rPr>
          <w:rFonts w:ascii="仿宋" w:eastAsia="仿宋" w:hAnsi="仿宋" w:hint="eastAsia"/>
          <w:sz w:val="28"/>
          <w:szCs w:val="28"/>
        </w:rPr>
        <w:t>（一）指导思想。</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以邓小平理论、“三个代表”重要思想、科学发展观为指导，深入贯彻落实党的十八大、十八届二中、三中全会精神和国务院决策部署，充分发挥市场在资源配置中的决定性作用，以支撑创新驱动发展战略实施为目标，以满足科技创新需求和提升产业创新能力为导向，深化科技体制改革，加快政府职能转变，完善政策环境，培育和壮大科技服务市场主体，创新科技服务模式，延展科技创新服务链，促进科技服务业专业化、网络化、规模化、国际化发展，为建设创新型国家、打造中国经济升级版提供重要保障。</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（二）基本原则。</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坚持深化改革。推进科技体制改革，加快政府职能转变和简政放权，有序放开科技服务市场准入，建立符合国情、持续发展的体制机制，营造平等参与、公平竞争的发展环境，激发各类科技服务主体活力。</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坚持创新驱动。充分应用现代信息和网络技术，依托各类科技创新载体，整合开放公共科技服务资源，推动技术集成创新和商业模式创新，积极发展新型科技服务业态。</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坚持市场导向。充分发挥市场在资源配置中的决定性作用，区分公共服务和市场化服务，综合运用财税、金融、产业等政策支持科技服务机构市场化发展，加强专业化分工，拓展市场空间，实现科技服务业集聚发展。</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坚持开放合作。鼓励科技服务机构加强区域协作，推动科技服务业协同发展，加强国际交流与合作，培育具有全球影响力的服务品牌。</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（三）发展目标。</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到</w:t>
      </w:r>
      <w:r w:rsidRPr="00373364">
        <w:rPr>
          <w:rFonts w:ascii="仿宋" w:eastAsia="仿宋" w:hAnsi="仿宋"/>
          <w:sz w:val="28"/>
          <w:szCs w:val="28"/>
        </w:rPr>
        <w:t>2020</w:t>
      </w:r>
      <w:r w:rsidRPr="00373364">
        <w:rPr>
          <w:rFonts w:ascii="仿宋" w:eastAsia="仿宋" w:hAnsi="仿宋" w:hint="eastAsia"/>
          <w:sz w:val="28"/>
          <w:szCs w:val="28"/>
        </w:rPr>
        <w:t>年，基本形成覆盖科技创新全链条的科技服务体系，服务科技创新能力大幅增强，科技服务市场化水平和国际竞争力明显提升，培育一批拥有知名品牌的科技服务机构和龙头企业，涌现一批新型科技服务业态，形成一批科技服务产业集群，科技服务业产业规模达到</w:t>
      </w:r>
      <w:r w:rsidRPr="00373364">
        <w:rPr>
          <w:rFonts w:ascii="仿宋" w:eastAsia="仿宋" w:hAnsi="仿宋"/>
          <w:sz w:val="28"/>
          <w:szCs w:val="28"/>
        </w:rPr>
        <w:t>8</w:t>
      </w:r>
      <w:r w:rsidRPr="00373364">
        <w:rPr>
          <w:rFonts w:ascii="仿宋" w:eastAsia="仿宋" w:hAnsi="仿宋" w:hint="eastAsia"/>
          <w:sz w:val="28"/>
          <w:szCs w:val="28"/>
        </w:rPr>
        <w:t>万亿元，成为促进科技经济结合的关键环节和经济提质增效升级的重要引擎。</w:t>
      </w:r>
    </w:p>
    <w:p w:rsidR="00CB72E5" w:rsidRPr="00373364" w:rsidRDefault="00CB72E5" w:rsidP="00373364">
      <w:pPr>
        <w:spacing w:line="576" w:lineRule="exact"/>
        <w:ind w:firstLineChars="200" w:firstLine="31680"/>
        <w:rPr>
          <w:rFonts w:ascii="黑体" w:eastAsia="黑体" w:hAnsi="黑体"/>
          <w:sz w:val="28"/>
          <w:szCs w:val="28"/>
        </w:rPr>
      </w:pPr>
      <w:r w:rsidRPr="00373364">
        <w:rPr>
          <w:rFonts w:ascii="黑体" w:eastAsia="黑体" w:hAnsi="黑体" w:hint="eastAsia"/>
          <w:sz w:val="28"/>
          <w:szCs w:val="28"/>
        </w:rPr>
        <w:t>二、重点任务</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重点发展研究开发、技术转移、检验检测认证、创业孵化、知识产权、科技咨询、科技金融、科学技术普及等专业科技服务和综合科技服务，提升科技服务业对科技创新和产业发展的支撑能力。</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（一）研究开发及其服务。</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加大对基础研究的投入力度，支持开展多种形式的应用研究和试验发展活动。支持高校、科研院所整合科研资源，面向市场提供专业化的研发服务。鼓励研发类企业专业化发展，积极培育市场化新型研发组织、研发中介和研发服务外包新业态。支持产业联盟开展协同创新，推动产业技术研发机构面向产业集群开展共性技术研发。支持发展产品研发设计服务，促进研发设计服务企业积极应用新技术提高设计服务能力。加强科技资源开放服务，建立健全高校、科研院所的科研设施和仪器设备开放运行机制，引导国家重点实验室、国家工程实验室、国家工程（技术）研究中心、大型科学仪器中心、分析测试中心等向社会开放服务。</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（二）技术转移服务。</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发展多层次的技术（产权）交易市场体系，支持技术交易机构探索基于互联网的在线技术交易模式，推动技术交易市场做大做强。鼓励技术转移机构创新服务模式，为企业提供跨领域、跨区域、全过程的技术转移集成服务，促进科技成果加速转移转化。依法保障为科技成果转移转化作出重要贡献的人员、技术转移机构等相关方的收入或股权比例。充分发挥技术进出口交易会、高新技术成果交易会等展会在推动技术转移中的作用。推动高校、科研院所、产业联盟、工程中心等面向市场开展中试和技术熟化等集成服务。建立企业、科研院所、高校良性互动机制，促进技术转移转化。</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（三）检验检测认证服务。</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加快发展第三方检验检测认证服务，鼓励不同所有制检验检测认证机构平等参与市场竞争。加强计量、检测技术、检测装备研发等基础能力建设，发展面向设计开发、生产制造、售后服务全过程的观测、分析、测试、检验、标准、认证等服务。支持具备条件的检验检测认证机构与行政部门脱钩、转企改制，加快推进跨部门、跨行业、跨层级整合与并购重组，培育一批技术能力强、服务水平高、规模效益好的检验检测认证集团。完善检验检测认证机构规划布局，加强国家质检中心和检测实验室建设。构建产业计量测试服务体系，加强国家产业计量测试中心建设，建立计量科技创新联盟。构建统一的检验检测认证监管制度，完善检验检测认证机构资质认定办法，开展检验检测认证结果和技术能力国际互认。加强技术标准研制与应用，支持标准研发、信息咨询等服务发展，构建技术标准全程服务体系。</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（四）创业孵化服务。</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构建以专业孵化器和创新型孵化器为重点、综合孵化器为支撑的创业孵化生态体系。加强创业教育，营造创业文化，办好创新创业大赛，充分发挥大学科技园在大学生创业就业和高校科技成果转化中的载体作用。引导企业、社会资本参与投资建设孵化器，促进天使投资与创业孵化紧密结合，推广“孵化</w:t>
      </w:r>
      <w:r w:rsidRPr="00373364">
        <w:rPr>
          <w:rFonts w:ascii="仿宋" w:eastAsia="仿宋" w:hAnsi="仿宋"/>
          <w:sz w:val="28"/>
          <w:szCs w:val="28"/>
        </w:rPr>
        <w:t>+</w:t>
      </w:r>
      <w:r w:rsidRPr="00373364">
        <w:rPr>
          <w:rFonts w:ascii="仿宋" w:eastAsia="仿宋" w:hAnsi="仿宋" w:hint="eastAsia"/>
          <w:sz w:val="28"/>
          <w:szCs w:val="28"/>
        </w:rPr>
        <w:t>创投”等孵化模式，积极探索基于互联网的新型孵化方式，提升孵化器专业服务能力。整合创新创业服务资源，支持建设“创业苗圃</w:t>
      </w:r>
      <w:r w:rsidRPr="00373364">
        <w:rPr>
          <w:rFonts w:ascii="仿宋" w:eastAsia="仿宋" w:hAnsi="仿宋"/>
          <w:sz w:val="28"/>
          <w:szCs w:val="28"/>
        </w:rPr>
        <w:t>+</w:t>
      </w:r>
      <w:r w:rsidRPr="00373364">
        <w:rPr>
          <w:rFonts w:ascii="仿宋" w:eastAsia="仿宋" w:hAnsi="仿宋" w:hint="eastAsia"/>
          <w:sz w:val="28"/>
          <w:szCs w:val="28"/>
        </w:rPr>
        <w:t>孵化器</w:t>
      </w:r>
      <w:r w:rsidRPr="00373364">
        <w:rPr>
          <w:rFonts w:ascii="仿宋" w:eastAsia="仿宋" w:hAnsi="仿宋"/>
          <w:sz w:val="28"/>
          <w:szCs w:val="28"/>
        </w:rPr>
        <w:t>+</w:t>
      </w:r>
      <w:r w:rsidRPr="00373364">
        <w:rPr>
          <w:rFonts w:ascii="仿宋" w:eastAsia="仿宋" w:hAnsi="仿宋" w:hint="eastAsia"/>
          <w:sz w:val="28"/>
          <w:szCs w:val="28"/>
        </w:rPr>
        <w:t>加速器”的创业孵化服务链条，为培育新兴产业提供源头支撑。</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（五）知识产权服务。</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以科技创新需求为导向，大力发展知识产权代理、法律、信息、咨询、培训等服务，提升知识产权分析评议、运营实施、评估交易、保护维权、投融资等服务水平，构建全链条的知识产权服务体系。支持成立知识产权服务联盟，开发高端检索分析工具。推动知识产权基础信息资源免费或低成本向社会开放，基本检索工具免费供社会公众使用。支持相关科技服务机构面向重点产业领域，建立知识产权信息服务平台，提升产业创新服务能力。</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（六）科技咨询服务。</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鼓励发展科技战略研究、科技评估、科技招投标、管理咨询等科技咨询服务业，积极培育管理服务外包、项目管理外包等新业态。支持科技咨询机构、知识服务机构、生产力促进中心等积极应用大数据、云计算、移动互联网等现代信息技术，创新服务模式，开展网络化、集成化的科技咨询和知识服务。加强科技信息资源的市场化开发利用，支持发展竞争情报分析、科技查新和文献检索等科技信息服务。发展工程技术咨询服务，为企业提供集成化的工程技术解决方案。</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（七）科技金融服务。</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深化促进科技和金融结合试点，探索发展新型科技金融服务组织和服务模式，建立适应创新链需求的科技金融服务体系。鼓励金融机构在科技金融服务的组织体系、金融产品和服务机制方面进行创新，建立融资风险与收益相匹配的激励机制，开展科技保险、科技担保、知识产权质押等科技金融服务。支持天使投资、创业投资等股权投资对科技企业进行投资和增值服务，探索投贷结合的融资模式。利用互联网金融平台服务科技创新，完善投融资担保机制，破解科技型中小微企业融资难问题。</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（八）科学技术普及服务。</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加强科普能力建设，支持有条件的科技馆、博物馆、图书馆等公共场所免费开放，开展公益性科普服务。引导科普服务机构采取市场运作方式，加强产品研发，拓展传播渠道，开展增值服务，带动模型、教具、展品等相关衍生产业发展。推动科研机构、高校向社会开放科研设施，鼓励企业、社会组织和个人捐助或投资建设科普设施。整合科普资源，建立区域合作机制，逐步形成全国范围内科普资源互通共享的格局。支持各类出版机构、新闻媒体开展科普服务，积极开展青少年科普阅读活动，加大科技传播力度，提供科普服务新平台。</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（九）综合科技服务。</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鼓励科技服务机构的跨领域融合、跨区域合作，以市场化方式整合现有科技服务资源，创新服务模式和商业模式，发展全链条的科技服务，形成集成化总包、专业化分包的综合科技服务模式。鼓励科技服务机构面向产业集群和区域发展需求，开展专业化的综合科技服务，培育发展壮大若干科技集成服务商。支持科技服务机构面向军民科技融合开展综合服务，推进军民融合深度发展。</w:t>
      </w:r>
    </w:p>
    <w:p w:rsidR="00CB72E5" w:rsidRPr="00373364" w:rsidRDefault="00CB72E5" w:rsidP="00373364">
      <w:pPr>
        <w:spacing w:line="576" w:lineRule="exact"/>
        <w:ind w:firstLineChars="200" w:firstLine="31680"/>
        <w:rPr>
          <w:rFonts w:ascii="黑体" w:eastAsia="黑体" w:hAnsi="黑体"/>
          <w:sz w:val="28"/>
          <w:szCs w:val="28"/>
        </w:rPr>
      </w:pPr>
      <w:r w:rsidRPr="00373364">
        <w:rPr>
          <w:rFonts w:ascii="黑体" w:eastAsia="黑体" w:hAnsi="黑体" w:hint="eastAsia"/>
          <w:sz w:val="28"/>
          <w:szCs w:val="28"/>
        </w:rPr>
        <w:t>三、政策措施</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（一）健全市场机制。</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进一步完善科技服务业市场法规和监管体制，有序放开科技服务市场准入，规范市场秩序，加强科技服务企业信用体系建设，构建统一开放、竞争有序的市场体系，为各类科技服务主体营造公平竞争的环境。推动国有科技服务企业建立现代企业制度，引导社会资本参与国有科技服务企业改制，促进股权多元化改造。鼓励科技人员创办科技服务企业，积极支持合伙制科技服务企业发展。加快推进具备条件的科技服务事业单位转制，开展市场化经营。加快转变政府职能，充分发挥产业技术联盟、行业协会等社会组织在推动科技服务业发展中的作用。</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（二）强化基础支撑。</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加快建立国家科技报告制度，建设统一的国家科技管理信息系统，逐步加大信息开放和共享力度。积极推进科技服务公共技术平台建设，提升科技服务技术支撑能力。建立健全科技服务的标准体系，加强分类指导，促进科技服务业规范化发展。完善科技服务业统计调查制度，充分利用并整合各有关部门科技服务业统计数据，定期发布科技服务业发展情况。研究实行有利于科技服务业发展的土地政策，完善价格政策，逐步实现科技服务企业用水、用电、用气与工业企业同价。</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（三）加大财税支持。</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建立健全事业单位大型科研仪器设备对外开放共享机制，加强对国家超级计算中心等公共科研基础设施的支持。完善高新技术企业认定管理办法，充分考虑科技服务业特点，将科技服务内容及其支撑技术纳入国家重点支持的高新技术领域，对认定为高新技术企业的科技服务企业，减按</w:t>
      </w:r>
      <w:r w:rsidRPr="00373364">
        <w:rPr>
          <w:rFonts w:ascii="仿宋" w:eastAsia="仿宋" w:hAnsi="仿宋"/>
          <w:sz w:val="28"/>
          <w:szCs w:val="28"/>
        </w:rPr>
        <w:t>15%</w:t>
      </w:r>
      <w:r w:rsidRPr="00373364">
        <w:rPr>
          <w:rFonts w:ascii="仿宋" w:eastAsia="仿宋" w:hAnsi="仿宋" w:hint="eastAsia"/>
          <w:sz w:val="28"/>
          <w:szCs w:val="28"/>
        </w:rPr>
        <w:t>的税率征收企业所得税。符合条件的科技服务企业发生的职工教育经费支出，不超过工资薪金总额</w:t>
      </w:r>
      <w:r w:rsidRPr="00373364">
        <w:rPr>
          <w:rFonts w:ascii="仿宋" w:eastAsia="仿宋" w:hAnsi="仿宋"/>
          <w:sz w:val="28"/>
          <w:szCs w:val="28"/>
        </w:rPr>
        <w:t>8%</w:t>
      </w:r>
      <w:r w:rsidRPr="00373364">
        <w:rPr>
          <w:rFonts w:ascii="仿宋" w:eastAsia="仿宋" w:hAnsi="仿宋" w:hint="eastAsia"/>
          <w:sz w:val="28"/>
          <w:szCs w:val="28"/>
        </w:rPr>
        <w:t>的部分，准予在计算应纳税所得额时据实扣除。结合完善企业研发费用计核方法，统筹研究科技服务费用税前加计扣除范围。加快推进营业税改征增值税试点，扩大科技服务企业增值税进项税额抵扣范围，消除重复征税。落实国家大学科技园、科技企业孵化器相关税收优惠政策，对其自用以及提供给孵化企业使用的房产、土地，免征房产税和城镇土地使用税；对其向孵化企业出租场地、房屋以及提供孵化服务的收入，免征营业税。</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（四）拓宽资金渠道。</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建立多元化的资金投入体系，拓展科技服务企业融资渠道，引导银行信贷、创业投资、资本市场等加大对科技服务企业的支持，支持科技服务企业上市融资和再融资以及到全国中小企业股份转让系统挂牌，鼓励外资投入科技服务业。积极发挥财政资金的杠杆作用，利用中小企业发展专项资金、国家科技成果转化引导基金等渠道加大对科技服务企业的支持力度；鼓励地方通过科技服务业发展专项资金等方式，支持科技服务机构提升专业服务能力、搭建公共服务平台、创新服务模式等。创新财政支持方式，积极探索以政府购买服务、“后补助”等方式支持公共科技服务发展。</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（五）加强人才培养。</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面向科技服务业发展需求，完善学历教育和职业培训体系，支持高校调整相关专业设置，加强对科技服务业从业人员的培养培训。积极利用各类人才计划，引进和培养一批懂技术、懂市场、懂管理的复合型科技服务高端人才。依托科协组织、行业协会，开展科技服务人才专业技术培训，提高从业人员的专业素质和能力水平。完善科技服务业人才评价体系，健全职业资格制度，调动高校、科研院所、企业等各类人才在科技服务领域创业创新的积极性。</w:t>
      </w:r>
    </w:p>
    <w:p w:rsidR="00CB72E5" w:rsidRPr="00373364" w:rsidRDefault="00CB72E5" w:rsidP="00373364">
      <w:pPr>
        <w:spacing w:line="576" w:lineRule="exact"/>
        <w:ind w:firstLineChars="200" w:firstLine="31680"/>
        <w:rPr>
          <w:rFonts w:ascii="仿宋" w:eastAsia="仿宋" w:hAnsi="仿宋"/>
          <w:sz w:val="28"/>
          <w:szCs w:val="28"/>
        </w:rPr>
      </w:pPr>
      <w:r w:rsidRPr="00373364">
        <w:rPr>
          <w:rFonts w:ascii="仿宋" w:eastAsia="仿宋" w:hAnsi="仿宋" w:hint="eastAsia"/>
          <w:sz w:val="28"/>
          <w:szCs w:val="28"/>
        </w:rPr>
        <w:t>（六）深化开放合作。</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支持科技服务企业“走出去”，通过海外并购、联合经营、设立分支机构等方式开拓国际市场，扶持科技服务企业到境外上市。推动科技服务企业牵头组建以技术、专利、标准为纽带的科技服务联盟，开展协同创新。支持科技服务机构开展技术、人才等方面的国际交流合作。鼓励国外知名科技服务机构在我国设立分支机构或开展科技服务合作。</w:t>
      </w:r>
    </w:p>
    <w:p w:rsidR="00CB72E5" w:rsidRPr="00373364" w:rsidRDefault="00CB72E5" w:rsidP="00373364">
      <w:pPr>
        <w:spacing w:line="576" w:lineRule="exact"/>
        <w:ind w:firstLineChars="150" w:firstLine="31680"/>
        <w:rPr>
          <w:rFonts w:ascii="仿宋" w:eastAsia="仿宋" w:hAnsi="仿宋"/>
          <w:sz w:val="28"/>
          <w:szCs w:val="28"/>
        </w:rPr>
      </w:pPr>
      <w:r w:rsidRPr="00373364">
        <w:rPr>
          <w:rFonts w:ascii="仿宋" w:eastAsia="仿宋" w:hAnsi="仿宋" w:hint="eastAsia"/>
          <w:sz w:val="28"/>
          <w:szCs w:val="28"/>
        </w:rPr>
        <w:t>（七）推动示范应用。</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开展科技服务业区域和行业试点示范，打造一批特色鲜明、功能完善、布局合理的科技服务业集聚区，形成一批具有国际竞争力的科技服务业集群。深入推动重点行业的科技服务应用，围绕战略性新兴产业和现代制造业的创新需求，建设公共科技服务平台。鼓励开展面向农业技术推广、农业产业化、人口健康、生态环境、社会治理、公共安全、防灾减灾等惠民科技服务。</w:t>
      </w:r>
    </w:p>
    <w:p w:rsidR="00CB72E5" w:rsidRPr="00373364" w:rsidRDefault="00CB72E5" w:rsidP="00373364">
      <w:pPr>
        <w:spacing w:line="576" w:lineRule="exact"/>
        <w:rPr>
          <w:rFonts w:ascii="仿宋" w:eastAsia="仿宋" w:hAnsi="仿宋"/>
          <w:sz w:val="28"/>
          <w:szCs w:val="28"/>
        </w:rPr>
      </w:pPr>
      <w:r w:rsidRPr="00373364">
        <w:rPr>
          <w:rFonts w:ascii="仿宋" w:eastAsia="仿宋" w:hAnsi="仿宋" w:hint="eastAsia"/>
          <w:sz w:val="28"/>
          <w:szCs w:val="28"/>
        </w:rPr>
        <w:t>各地区、各部门要充分认识加快科技服务业发展的重大意义，加强组织领导，健全工作机制，强化部门协同和上下联动，协调推动科技服务业改革发展。各地区要根据本意见，结合地方实际研究制定具体实施方案，细化政策措施，确保各项任务落到实处。各有关部门要抓紧研究制定配套政策和落实分工任务的具体措施，为科技服务业发展营造良好环境。科技部要会同相关部门对本意见的落实情况进行跟踪分析和督促指导，重大事项及时向国务院报告。</w:t>
      </w:r>
    </w:p>
    <w:p w:rsidR="00CB72E5" w:rsidRPr="00373364" w:rsidRDefault="00CB72E5" w:rsidP="00373364">
      <w:pPr>
        <w:spacing w:line="576" w:lineRule="exact"/>
        <w:ind w:firstLineChars="2250" w:firstLine="31680"/>
        <w:rPr>
          <w:rFonts w:ascii="仿宋" w:eastAsia="仿宋" w:hAnsi="仿宋"/>
          <w:sz w:val="28"/>
          <w:szCs w:val="28"/>
        </w:rPr>
      </w:pPr>
      <w:r w:rsidRPr="00373364">
        <w:rPr>
          <w:rFonts w:ascii="仿宋" w:eastAsia="仿宋" w:hAnsi="仿宋" w:hint="eastAsia"/>
          <w:sz w:val="28"/>
          <w:szCs w:val="28"/>
        </w:rPr>
        <w:t>国务院</w:t>
      </w:r>
    </w:p>
    <w:p w:rsidR="00CB72E5" w:rsidRPr="00373364" w:rsidRDefault="00CB72E5" w:rsidP="00373364">
      <w:pPr>
        <w:spacing w:line="576" w:lineRule="exact"/>
        <w:ind w:firstLineChars="1950" w:firstLine="31680"/>
        <w:rPr>
          <w:rFonts w:ascii="仿宋" w:eastAsia="仿宋" w:hAnsi="仿宋"/>
          <w:sz w:val="28"/>
          <w:szCs w:val="28"/>
        </w:rPr>
      </w:pPr>
      <w:r w:rsidRPr="00373364">
        <w:rPr>
          <w:rFonts w:ascii="仿宋" w:eastAsia="仿宋" w:hAnsi="仿宋"/>
          <w:sz w:val="28"/>
          <w:szCs w:val="28"/>
        </w:rPr>
        <w:t>2014</w:t>
      </w:r>
      <w:r w:rsidRPr="00373364">
        <w:rPr>
          <w:rFonts w:ascii="仿宋" w:eastAsia="仿宋" w:hAnsi="仿宋" w:hint="eastAsia"/>
          <w:sz w:val="28"/>
          <w:szCs w:val="28"/>
        </w:rPr>
        <w:t>年</w:t>
      </w:r>
      <w:r w:rsidRPr="00373364">
        <w:rPr>
          <w:rFonts w:ascii="仿宋" w:eastAsia="仿宋" w:hAnsi="仿宋"/>
          <w:sz w:val="28"/>
          <w:szCs w:val="28"/>
        </w:rPr>
        <w:t>10</w:t>
      </w:r>
      <w:r w:rsidRPr="00373364">
        <w:rPr>
          <w:rFonts w:ascii="仿宋" w:eastAsia="仿宋" w:hAnsi="仿宋" w:hint="eastAsia"/>
          <w:sz w:val="28"/>
          <w:szCs w:val="28"/>
        </w:rPr>
        <w:t>月</w:t>
      </w:r>
      <w:r w:rsidRPr="00373364">
        <w:rPr>
          <w:rFonts w:ascii="仿宋" w:eastAsia="仿宋" w:hAnsi="仿宋"/>
          <w:sz w:val="28"/>
          <w:szCs w:val="28"/>
        </w:rPr>
        <w:t>9</w:t>
      </w:r>
      <w:r w:rsidRPr="00373364">
        <w:rPr>
          <w:rFonts w:ascii="仿宋" w:eastAsia="仿宋" w:hAnsi="仿宋" w:hint="eastAsia"/>
          <w:sz w:val="28"/>
          <w:szCs w:val="28"/>
        </w:rPr>
        <w:t>日</w:t>
      </w:r>
    </w:p>
    <w:p w:rsidR="00CB72E5" w:rsidRPr="00373364" w:rsidRDefault="00CB72E5" w:rsidP="00373364">
      <w:pPr>
        <w:spacing w:line="576" w:lineRule="exact"/>
        <w:rPr>
          <w:rFonts w:ascii="仿宋" w:eastAsia="仿宋" w:hAnsi="仿宋"/>
          <w:sz w:val="28"/>
          <w:szCs w:val="28"/>
        </w:rPr>
      </w:pPr>
    </w:p>
    <w:sectPr w:rsidR="00CB72E5" w:rsidRPr="00373364" w:rsidSect="004358AB">
      <w:pgSz w:w="11906" w:h="16838"/>
      <w:pgMar w:top="1440" w:right="1800" w:bottom="1440" w:left="1800" w:header="708" w:footer="708" w:gutter="0"/>
      <w:cols w:space="708"/>
      <w:docGrid w:type="lines"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720"/>
  <w:characterSpacingControl w:val="doNotCompress"/>
  <w:noLineBreaksAfter w:lang="zh-CN" w:val="$([{£¥·‘“〈《「『【〔〖〝﹙﹛﹝＄（．［｛￡￥"/>
  <w:noLineBreaksBefore w:lang="zh-CN" w:val="!%),.:;&gt;?]}¢¨°·ˇˉ―‖’”…‰′″›℃∶、。〃〉》」』】〕〗〞︶︺︾﹀﹄﹚﹜﹞！＂％＇），．：；？］｀｜｝～￠"/>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31D50"/>
    <w:rsid w:val="00323B43"/>
    <w:rsid w:val="00373364"/>
    <w:rsid w:val="003D37D8"/>
    <w:rsid w:val="00426133"/>
    <w:rsid w:val="004358AB"/>
    <w:rsid w:val="006571CE"/>
    <w:rsid w:val="008B7726"/>
    <w:rsid w:val="00A20D25"/>
    <w:rsid w:val="00A27CE1"/>
    <w:rsid w:val="00AE1ACC"/>
    <w:rsid w:val="00CB72E5"/>
    <w:rsid w:val="00D31D50"/>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微软雅黑"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3B43"/>
    <w:pPr>
      <w:adjustRightInd w:val="0"/>
      <w:snapToGrid w:val="0"/>
      <w:spacing w:after="200"/>
    </w:pPr>
    <w:rPr>
      <w:rFonts w:ascii="Tahoma" w:hAnsi="Tahoma"/>
      <w:kern w:val="0"/>
      <w:sz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A20D25"/>
    <w:pPr>
      <w:adjustRightInd/>
      <w:snapToGrid/>
      <w:spacing w:before="100" w:beforeAutospacing="1" w:after="100" w:afterAutospacing="1"/>
    </w:pPr>
    <w:rPr>
      <w:rFonts w:ascii="宋体" w:eastAsia="宋体" w:hAnsi="宋体" w:cs="宋体"/>
      <w:sz w:val="24"/>
      <w:szCs w:val="24"/>
    </w:rPr>
  </w:style>
  <w:style w:type="character" w:styleId="Strong">
    <w:name w:val="Strong"/>
    <w:basedOn w:val="DefaultParagraphFont"/>
    <w:uiPriority w:val="99"/>
    <w:qFormat/>
    <w:rsid w:val="00A20D25"/>
    <w:rPr>
      <w:rFonts w:cs="Times New Roman"/>
      <w:b/>
      <w:bCs/>
    </w:rPr>
  </w:style>
  <w:style w:type="character" w:styleId="Hyperlink">
    <w:name w:val="Hyperlink"/>
    <w:basedOn w:val="DefaultParagraphFont"/>
    <w:uiPriority w:val="99"/>
    <w:semiHidden/>
    <w:rsid w:val="00A20D25"/>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divs>
    <w:div w:id="5711255">
      <w:marLeft w:val="0"/>
      <w:marRight w:val="0"/>
      <w:marTop w:val="0"/>
      <w:marBottom w:val="0"/>
      <w:divBdr>
        <w:top w:val="none" w:sz="0" w:space="0" w:color="auto"/>
        <w:left w:val="none" w:sz="0" w:space="0" w:color="auto"/>
        <w:bottom w:val="none" w:sz="0" w:space="0" w:color="auto"/>
        <w:right w:val="none" w:sz="0" w:space="0" w:color="auto"/>
      </w:divBdr>
    </w:div>
    <w:div w:id="5711256">
      <w:marLeft w:val="0"/>
      <w:marRight w:val="0"/>
      <w:marTop w:val="0"/>
      <w:marBottom w:val="0"/>
      <w:divBdr>
        <w:top w:val="none" w:sz="0" w:space="0" w:color="auto"/>
        <w:left w:val="none" w:sz="0" w:space="0" w:color="auto"/>
        <w:bottom w:val="none" w:sz="0" w:space="0" w:color="auto"/>
        <w:right w:val="none" w:sz="0" w:space="0" w:color="auto"/>
      </w:divBdr>
    </w:div>
    <w:div w:id="57112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TotalTime>
  <Pages>10</Pages>
  <Words>804</Words>
  <Characters>4585</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hc</cp:lastModifiedBy>
  <cp:revision>3</cp:revision>
  <dcterms:created xsi:type="dcterms:W3CDTF">2008-09-11T17:20:00Z</dcterms:created>
  <dcterms:modified xsi:type="dcterms:W3CDTF">2015-03-11T13:21:00Z</dcterms:modified>
</cp:coreProperties>
</file>