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66B0A">
      <w:pPr>
        <w:tabs>
          <w:tab w:val="left" w:pos="5954"/>
        </w:tabs>
        <w:rPr>
          <w:b/>
          <w:bCs/>
          <w:sz w:val="24"/>
        </w:rPr>
      </w:pPr>
      <w:r>
        <w:rPr>
          <w:rFonts w:hint="eastAsia"/>
          <w:b/>
          <w:bCs/>
          <w:sz w:val="24"/>
        </w:rPr>
        <w:t>分类号：</w:t>
      </w:r>
      <w:sdt>
        <w:sdtPr>
          <w:rPr>
            <w:rFonts w:hint="eastAsia"/>
            <w:b/>
            <w:bCs/>
            <w:sz w:val="24"/>
          </w:rPr>
          <w:id w:val="735435126"/>
          <w:lock w:val="sdtLocked"/>
          <w:placeholder>
            <w:docPart w:val="{5df6c6c6-fc60-41c1-8bda-7aeb65e24c9f}"/>
          </w:placeholder>
          <w:showingPlcHdr/>
          <w15:appearance w15:val="hidden"/>
          <w:text/>
        </w:sdtPr>
        <w:sdtEndPr>
          <w:rPr>
            <w:rFonts w:hint="eastAsia"/>
            <w:b/>
            <w:bCs/>
            <w:sz w:val="24"/>
          </w:rPr>
        </w:sdtEndPr>
        <w:sdtContent>
          <w:r>
            <w:rPr>
              <w:rStyle w:val="64"/>
              <w:rFonts w:hint="eastAsia"/>
            </w:rPr>
            <w:t>点击此处填写中图分类号</w:t>
          </w:r>
        </w:sdtContent>
      </w:sdt>
      <w:r>
        <w:rPr>
          <w:b/>
          <w:bCs/>
          <w:sz w:val="24"/>
        </w:rPr>
        <w:tab/>
      </w:r>
      <w:r>
        <w:rPr>
          <w:rFonts w:hint="eastAsia"/>
          <w:b/>
          <w:bCs/>
          <w:sz w:val="24"/>
        </w:rPr>
        <w:t>学校代码：10434</w:t>
      </w:r>
    </w:p>
    <w:p w14:paraId="3645462F">
      <w:pPr>
        <w:rPr>
          <w:b/>
          <w:bCs/>
          <w:sz w:val="24"/>
        </w:rPr>
      </w:pPr>
      <w:r>
        <w:rPr>
          <w:rFonts w:hint="eastAsia"/>
          <w:b/>
          <w:bCs/>
          <w:spacing w:val="68"/>
          <w:sz w:val="24"/>
        </w:rPr>
        <w:t>UDC</w:t>
      </w:r>
      <w:r>
        <w:rPr>
          <w:rFonts w:hint="eastAsia"/>
          <w:b/>
          <w:bCs/>
          <w:sz w:val="24"/>
        </w:rPr>
        <w:t>：</w:t>
      </w:r>
      <w:sdt>
        <w:sdtPr>
          <w:rPr>
            <w:rFonts w:hint="eastAsia"/>
            <w:b/>
            <w:bCs/>
            <w:sz w:val="24"/>
          </w:rPr>
          <w:id w:val="-1275017737"/>
          <w:lock w:val="sdtLocked"/>
          <w:placeholder>
            <w:docPart w:val="{c85fe70f-9327-45f1-935f-02d508b0edde}"/>
          </w:placeholder>
          <w:showingPlcHdr/>
          <w15:appearance w15:val="hidden"/>
          <w:text/>
        </w:sdtPr>
        <w:sdtEndPr>
          <w:rPr>
            <w:rFonts w:hint="eastAsia"/>
            <w:b/>
            <w:bCs/>
            <w:sz w:val="24"/>
          </w:rPr>
        </w:sdtEndPr>
        <w:sdtContent>
          <w:r>
            <w:rPr>
              <w:rStyle w:val="64"/>
              <w:rFonts w:hint="eastAsia"/>
            </w:rPr>
            <w:t>点击此处填写UDC</w:t>
          </w:r>
        </w:sdtContent>
      </w:sdt>
    </w:p>
    <w:p w14:paraId="1AA253F7">
      <w:pPr>
        <w:tabs>
          <w:tab w:val="left" w:pos="5954"/>
        </w:tabs>
        <w:rPr>
          <w:b/>
          <w:bCs/>
          <w:sz w:val="24"/>
        </w:rPr>
      </w:pPr>
      <w:r>
        <w:rPr>
          <w:rFonts w:hint="eastAsia"/>
          <w:b/>
          <w:bCs/>
          <w:sz w:val="24"/>
        </w:rPr>
        <w:t>密　级：</w:t>
      </w:r>
      <w:sdt>
        <w:sdtPr>
          <w:rPr>
            <w:rFonts w:hint="eastAsia"/>
            <w:b/>
            <w:bCs/>
            <w:sz w:val="24"/>
          </w:rPr>
          <w:id w:val="-1906140143"/>
          <w:lock w:val="sdtLocked"/>
          <w:placeholder>
            <w:docPart w:val="{8a79ead9-81bf-40a4-9472-e51620030ee4}"/>
          </w:placeholder>
          <w:showingPlcHdr/>
          <w15:appearance w15:val="hidden"/>
          <w:text/>
        </w:sdtPr>
        <w:sdtEndPr>
          <w:rPr>
            <w:rFonts w:hint="eastAsia"/>
            <w:b/>
            <w:bCs/>
            <w:sz w:val="24"/>
          </w:rPr>
        </w:sdtEndPr>
        <w:sdtContent>
          <w:r>
            <w:rPr>
              <w:rStyle w:val="64"/>
              <w:rFonts w:hint="eastAsia"/>
            </w:rPr>
            <w:t>点击此处填写，除涉密论文外均应填“公开”</w:t>
          </w:r>
        </w:sdtContent>
      </w:sdt>
      <w:r>
        <w:rPr>
          <w:b/>
          <w:bCs/>
          <w:sz w:val="24"/>
        </w:rPr>
        <w:tab/>
      </w:r>
      <w:r>
        <w:rPr>
          <w:rFonts w:hint="eastAsia"/>
          <w:b/>
          <w:bCs/>
          <w:sz w:val="24"/>
        </w:rPr>
        <w:t>学    号：</w:t>
      </w:r>
      <w:sdt>
        <w:sdtPr>
          <w:rPr>
            <w:rFonts w:hint="eastAsia"/>
            <w:b/>
            <w:bCs/>
            <w:sz w:val="24"/>
          </w:rPr>
          <w:id w:val="-1851796726"/>
          <w:lock w:val="sdtLocked"/>
          <w:placeholder>
            <w:docPart w:val="{13b7da6d-4bfe-4bae-9fcb-356b938fccdd}"/>
          </w:placeholder>
          <w:showingPlcHdr/>
          <w15:appearance w15:val="hidden"/>
          <w:text/>
        </w:sdtPr>
        <w:sdtEndPr>
          <w:rPr>
            <w:rFonts w:hint="eastAsia"/>
            <w:b/>
            <w:bCs/>
            <w:sz w:val="24"/>
          </w:rPr>
        </w:sdtEndPr>
        <w:sdtContent>
          <w:r>
            <w:rPr>
              <w:rStyle w:val="64"/>
              <w:rFonts w:hint="eastAsia"/>
            </w:rPr>
            <w:t>点击此处填写学号</w:t>
          </w:r>
        </w:sdtContent>
      </w:sdt>
    </w:p>
    <w:p w14:paraId="607BEADE">
      <w:pPr>
        <w:tabs>
          <w:tab w:val="left" w:pos="6210"/>
        </w:tabs>
        <w:rPr>
          <w:sz w:val="24"/>
        </w:rPr>
      </w:pPr>
    </w:p>
    <w:p w14:paraId="0CEE3313">
      <w:pPr>
        <w:tabs>
          <w:tab w:val="left" w:pos="6210"/>
        </w:tabs>
        <w:rPr>
          <w:sz w:val="24"/>
        </w:rPr>
      </w:pPr>
      <w:r>
        <w:rPr>
          <w:sz w:val="24"/>
        </w:rPr>
        <mc:AlternateContent>
          <mc:Choice Requires="wps">
            <w:drawing>
              <wp:anchor distT="45720" distB="45720" distL="114300" distR="114300" simplePos="0" relativeHeight="251662336" behindDoc="0" locked="0" layoutInCell="1" allowOverlap="1">
                <wp:simplePos x="0" y="0"/>
                <wp:positionH relativeFrom="column">
                  <wp:posOffset>1661795</wp:posOffset>
                </wp:positionH>
                <wp:positionV relativeFrom="paragraph">
                  <wp:posOffset>31115</wp:posOffset>
                </wp:positionV>
                <wp:extent cx="2705100" cy="1756410"/>
                <wp:effectExtent l="12700" t="12700" r="12700" b="2159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0510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04693D5">
                            <w:r>
                              <w:rPr>
                                <w:rFonts w:hint="eastAsia"/>
                              </w:rPr>
                              <w:t>【封面】（编辑时请删除此文本框，下同）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0.85pt;margin-top:2.45pt;height:138.3pt;width:213pt;z-index:251662336;mso-width-relative:page;mso-height-relative:margin;mso-height-percent:200;" fillcolor="#FFFFFF [3201]" filled="t" stroked="t" coordsize="21600,21600" o:gfxdata="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SlLwx1wAAAAkBAAAP&#10;AAAAAAAAAAEAIAAAACIAAABkcnMvZG93bnJldi54bWxQSwECFAAUAAAACACHTuJA+DlmqVICAACi&#10;BAAADgAAAAAAAAABACAAAAAmAQAAZHJzL2Uyb0RvYy54bWxQSwUGAAAAAAYABgBZAQAA6gUAAAAA&#10;">
                <v:fill on="t" focussize="0,0"/>
                <v:stroke weight="2pt" color="#F79646 [3209]" joinstyle="round"/>
                <v:imagedata o:title=""/>
                <o:lock v:ext="edit" aspectratio="f"/>
                <v:textbox style="mso-fit-shape-to-text:t;">
                  <w:txbxContent>
                    <w:p w14:paraId="104693D5">
                      <w:r>
                        <w:rPr>
                          <w:rFonts w:hint="eastAsia"/>
                        </w:rPr>
                        <w:t>【封面】（编辑时请删除此文本框，下同）</w:t>
                      </w:r>
                    </w:p>
                  </w:txbxContent>
                </v:textbox>
              </v:shape>
            </w:pict>
          </mc:Fallback>
        </mc:AlternateContent>
      </w:r>
    </w:p>
    <w:p w14:paraId="292A0D03">
      <w:pPr>
        <w:tabs>
          <w:tab w:val="left" w:pos="6210"/>
        </w:tabs>
        <w:rPr>
          <w:sz w:val="24"/>
        </w:rPr>
      </w:pPr>
    </w:p>
    <w:p w14:paraId="4D41ECE7">
      <w:pPr>
        <w:tabs>
          <w:tab w:val="left" w:pos="6210"/>
        </w:tabs>
        <w:rPr>
          <w:sz w:val="24"/>
        </w:rPr>
      </w:pPr>
    </w:p>
    <w:p w14:paraId="752A3853">
      <w:pPr>
        <w:tabs>
          <w:tab w:val="left" w:pos="6210"/>
        </w:tabs>
        <w:jc w:val="center"/>
        <w:rPr>
          <w:sz w:val="24"/>
        </w:rPr>
      </w:pPr>
      <w:r>
        <w:rPr>
          <w:rFonts w:hint="eastAsia" w:eastAsia="方正舒体"/>
          <w:w w:val="90"/>
          <w:sz w:val="84"/>
        </w:rPr>
        <w:drawing>
          <wp:inline distT="0" distB="0" distL="0" distR="0">
            <wp:extent cx="3355340" cy="61150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55800" cy="612000"/>
                    </a:xfrm>
                    <a:prstGeom prst="rect">
                      <a:avLst/>
                    </a:prstGeom>
                    <a:noFill/>
                    <a:ln>
                      <a:noFill/>
                    </a:ln>
                  </pic:spPr>
                </pic:pic>
              </a:graphicData>
            </a:graphic>
          </wp:inline>
        </w:drawing>
      </w:r>
    </w:p>
    <w:p w14:paraId="6FBFC342"/>
    <w:p w14:paraId="2AB2A59A">
      <w:pPr>
        <w:tabs>
          <w:tab w:val="left" w:pos="6210"/>
        </w:tabs>
        <w:jc w:val="center"/>
        <w:rPr>
          <w:rFonts w:hint="eastAsia" w:asciiTheme="majorEastAsia" w:hAnsiTheme="majorEastAsia" w:eastAsiaTheme="majorEastAsia"/>
          <w:b/>
          <w:bCs/>
          <w:w w:val="90"/>
          <w:sz w:val="96"/>
          <w:szCs w:val="96"/>
        </w:rPr>
      </w:pPr>
      <w:commentRangeStart w:id="0"/>
      <w:r>
        <w:rPr>
          <w:rFonts w:hint="eastAsia" w:ascii="黑体" w:hAnsi="黑体" w:eastAsia="黑体" w:cs="黑体"/>
          <w:b/>
          <w:bCs/>
          <w:spacing w:val="200"/>
          <w:w w:val="90"/>
          <w:sz w:val="96"/>
          <w:szCs w:val="96"/>
        </w:rPr>
        <w:t>硕士学位论</w:t>
      </w:r>
      <w:r>
        <w:rPr>
          <w:rFonts w:hint="eastAsia" w:ascii="黑体" w:hAnsi="黑体" w:eastAsia="黑体" w:cs="黑体"/>
          <w:b/>
          <w:bCs/>
          <w:w w:val="90"/>
          <w:sz w:val="96"/>
          <w:szCs w:val="96"/>
        </w:rPr>
        <w:t>文</w:t>
      </w:r>
      <w:commentRangeEnd w:id="0"/>
      <w:r>
        <w:commentReference w:id="0"/>
      </w:r>
    </w:p>
    <w:p w14:paraId="2287CAB5">
      <w:pPr>
        <w:jc w:val="center"/>
        <w:rPr>
          <w:rFonts w:hint="eastAsia" w:ascii="黑体" w:hAnsi="黑体" w:eastAsia="黑体"/>
          <w:sz w:val="44"/>
          <w:szCs w:val="52"/>
        </w:rPr>
      </w:pPr>
      <w:r>
        <w:rPr>
          <w:rFonts w:hint="eastAsia" w:ascii="黑体" w:hAnsi="黑体" w:eastAsia="黑体"/>
          <w:sz w:val="44"/>
          <w:szCs w:val="52"/>
        </w:rPr>
        <w:t>（专业学位）</w:t>
      </w:r>
    </w:p>
    <w:p w14:paraId="4E78395A"/>
    <w:p w14:paraId="753D02FD"/>
    <w:p w14:paraId="40A8A72F"/>
    <w:sdt>
      <w:sdtPr>
        <w:rPr>
          <w:rFonts w:hint="eastAsia" w:asciiTheme="majorEastAsia" w:hAnsiTheme="majorEastAsia" w:eastAsiaTheme="majorEastAsia"/>
          <w:sz w:val="44"/>
          <w:szCs w:val="44"/>
        </w:rPr>
        <w:id w:val="2136129082"/>
        <w:lock w:val="sdtLocked"/>
        <w:placeholder>
          <w:docPart w:val="{c321fcec-02d9-4816-a4c4-10e5a79f24b4}"/>
        </w:placeholder>
        <w:showingPlcHdr/>
        <w15:appearance w15:val="hidden"/>
      </w:sdtPr>
      <w:sdtEndPr>
        <w:rPr>
          <w:rFonts w:hint="eastAsia" w:asciiTheme="majorEastAsia" w:hAnsiTheme="majorEastAsia" w:eastAsiaTheme="majorEastAsia"/>
          <w:sz w:val="44"/>
          <w:szCs w:val="44"/>
        </w:rPr>
      </w:sdtEndPr>
      <w:sdtContent>
        <w:p w14:paraId="212298E8">
          <w:pPr>
            <w:jc w:val="center"/>
            <w:rPr>
              <w:rFonts w:hint="eastAsia" w:asciiTheme="majorEastAsia" w:hAnsiTheme="majorEastAsia" w:eastAsiaTheme="majorEastAsia"/>
              <w:sz w:val="44"/>
              <w:szCs w:val="44"/>
            </w:rPr>
          </w:pPr>
          <w:r>
            <w:rPr>
              <w:rFonts w:hint="eastAsia" w:asciiTheme="majorEastAsia" w:hAnsiTheme="majorEastAsia" w:eastAsiaTheme="majorEastAsia"/>
              <w:sz w:val="44"/>
              <w:szCs w:val="44"/>
            </w:rPr>
            <w:t>中文题目，二号黑体，居中</w:t>
          </w:r>
        </w:p>
      </w:sdtContent>
    </w:sdt>
    <w:p w14:paraId="4750C629"/>
    <w:p w14:paraId="00CEF07C"/>
    <w:p w14:paraId="1DEC7381"/>
    <w:tbl>
      <w:tblPr>
        <w:tblStyle w:val="3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3"/>
        <w:gridCol w:w="3261"/>
      </w:tblGrid>
      <w:tr w14:paraId="6D268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1317E705">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培养单</w:t>
            </w:r>
            <w:r>
              <w:rPr>
                <w:rFonts w:hint="eastAsia" w:asciiTheme="majorEastAsia" w:hAnsiTheme="majorEastAsia" w:eastAsiaTheme="majorEastAsia"/>
                <w:sz w:val="28"/>
                <w:szCs w:val="28"/>
              </w:rPr>
              <w:t>位：</w:t>
            </w:r>
          </w:p>
        </w:tc>
        <w:sdt>
          <w:sdtPr>
            <w:rPr>
              <w:rFonts w:hint="eastAsia"/>
              <w:sz w:val="28"/>
              <w:szCs w:val="28"/>
            </w:rPr>
            <w:id w:val="461160843"/>
            <w:lock w:val="sdtLocked"/>
            <w:placeholder>
              <w:docPart w:val="{d60a89a7-91ee-4953-881b-10cac0e68d77}"/>
            </w:placeholder>
            <w:showingPlcHdr/>
            <w15:appearance w15:val="hidden"/>
            <w:text/>
          </w:sdtPr>
          <w:sdtEndPr>
            <w:rPr>
              <w:rFonts w:hint="eastAsia"/>
              <w:sz w:val="28"/>
              <w:szCs w:val="28"/>
            </w:rPr>
          </w:sdtEndPr>
          <w:sdtContent>
            <w:tc>
              <w:tcPr>
                <w:tcW w:w="3261" w:type="dxa"/>
                <w:tcBorders>
                  <w:bottom w:val="single" w:color="auto" w:sz="4" w:space="0"/>
                </w:tcBorders>
                <w:vAlign w:val="bottom"/>
              </w:tcPr>
              <w:p w14:paraId="170670EA">
                <w:pPr>
                  <w:spacing w:line="360" w:lineRule="exact"/>
                  <w:jc w:val="center"/>
                  <w:rPr>
                    <w:sz w:val="28"/>
                    <w:szCs w:val="28"/>
                  </w:rPr>
                </w:pPr>
                <w:r>
                  <w:rPr>
                    <w:rStyle w:val="64"/>
                    <w:rFonts w:hint="eastAsia"/>
                  </w:rPr>
                  <w:t>学院全称</w:t>
                </w:r>
              </w:p>
            </w:tc>
          </w:sdtContent>
        </w:sdt>
      </w:tr>
      <w:tr w14:paraId="6279F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79C0BE96">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专　　</w:t>
            </w:r>
            <w:r>
              <w:rPr>
                <w:rFonts w:hint="eastAsia" w:asciiTheme="majorEastAsia" w:hAnsiTheme="majorEastAsia" w:eastAsiaTheme="majorEastAsia"/>
                <w:sz w:val="28"/>
                <w:szCs w:val="28"/>
              </w:rPr>
              <w:t>业：</w:t>
            </w:r>
          </w:p>
        </w:tc>
        <w:sdt>
          <w:sdtPr>
            <w:rPr>
              <w:rFonts w:hint="eastAsia"/>
              <w:sz w:val="28"/>
              <w:szCs w:val="28"/>
            </w:rPr>
            <w:id w:val="527990999"/>
            <w:lock w:val="sdtLocked"/>
            <w:placeholder>
              <w:docPart w:val="{98ebb198-14de-42d0-8eff-072b18d3297b}"/>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725C857D">
                <w:pPr>
                  <w:spacing w:line="360" w:lineRule="exact"/>
                  <w:jc w:val="center"/>
                  <w:rPr>
                    <w:sz w:val="28"/>
                    <w:szCs w:val="28"/>
                  </w:rPr>
                </w:pPr>
                <w:r>
                  <w:rPr>
                    <w:rStyle w:val="64"/>
                    <w:rFonts w:hint="eastAsia"/>
                  </w:rPr>
                  <w:t>与招生专业一致</w:t>
                </w:r>
              </w:p>
            </w:tc>
          </w:sdtContent>
        </w:sdt>
      </w:tr>
      <w:tr w14:paraId="6EA9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7BE45B94">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论文作</w:t>
            </w:r>
            <w:r>
              <w:rPr>
                <w:rFonts w:hint="eastAsia" w:asciiTheme="majorEastAsia" w:hAnsiTheme="majorEastAsia" w:eastAsiaTheme="majorEastAsia"/>
                <w:sz w:val="28"/>
                <w:szCs w:val="28"/>
              </w:rPr>
              <w:t>者：</w:t>
            </w:r>
          </w:p>
        </w:tc>
        <w:tc>
          <w:tcPr>
            <w:tcW w:w="3261" w:type="dxa"/>
            <w:tcBorders>
              <w:top w:val="single" w:color="auto" w:sz="4" w:space="0"/>
              <w:bottom w:val="single" w:color="auto" w:sz="4" w:space="0"/>
            </w:tcBorders>
            <w:vAlign w:val="bottom"/>
          </w:tcPr>
          <w:p w14:paraId="029A25D2">
            <w:pPr>
              <w:spacing w:line="360" w:lineRule="exact"/>
              <w:jc w:val="center"/>
              <w:rPr>
                <w:sz w:val="28"/>
                <w:szCs w:val="28"/>
              </w:rPr>
            </w:pPr>
          </w:p>
        </w:tc>
      </w:tr>
      <w:tr w14:paraId="33B1E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7A01731E">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指导教</w:t>
            </w:r>
            <w:r>
              <w:rPr>
                <w:rFonts w:hint="eastAsia" w:asciiTheme="majorEastAsia" w:hAnsiTheme="majorEastAsia" w:eastAsiaTheme="majorEastAsia"/>
                <w:sz w:val="28"/>
                <w:szCs w:val="28"/>
              </w:rPr>
              <w:t>师：</w:t>
            </w:r>
          </w:p>
        </w:tc>
        <w:sdt>
          <w:sdtPr>
            <w:rPr>
              <w:rFonts w:hint="eastAsia"/>
              <w:sz w:val="28"/>
              <w:szCs w:val="28"/>
            </w:rPr>
            <w:id w:val="-2099088523"/>
            <w:lock w:val="sdtLocked"/>
            <w:placeholder>
              <w:docPart w:val="{1e7344e4-d670-4197-9e46-6409ebeb47d1}"/>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24AA48A6">
                <w:pPr>
                  <w:spacing w:line="360" w:lineRule="exact"/>
                  <w:jc w:val="center"/>
                  <w:rPr>
                    <w:sz w:val="28"/>
                    <w:szCs w:val="28"/>
                  </w:rPr>
                </w:pPr>
                <w:r>
                  <w:rPr>
                    <w:rStyle w:val="64"/>
                    <w:rFonts w:hint="eastAsia"/>
                  </w:rPr>
                  <w:t>导师姓名　职称</w:t>
                </w:r>
              </w:p>
            </w:tc>
          </w:sdtContent>
        </w:sdt>
      </w:tr>
      <w:tr w14:paraId="3674E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4A09B971">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行业指导教师：</w:t>
            </w:r>
          </w:p>
        </w:tc>
        <w:sdt>
          <w:sdtPr>
            <w:rPr>
              <w:rFonts w:hint="eastAsia"/>
              <w:sz w:val="28"/>
              <w:szCs w:val="28"/>
            </w:rPr>
            <w:id w:val="1187175001"/>
            <w:lock w:val="sdtLocked"/>
            <w:placeholder>
              <w:docPart w:val="{e96d511f-3552-440d-b79e-02bfb72723d3}"/>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721BFAE4">
                <w:pPr>
                  <w:spacing w:line="360" w:lineRule="exact"/>
                  <w:jc w:val="center"/>
                  <w:rPr>
                    <w:sz w:val="28"/>
                    <w:szCs w:val="28"/>
                  </w:rPr>
                </w:pPr>
                <w:r>
                  <w:rPr>
                    <w:rStyle w:val="64"/>
                    <w:rFonts w:hint="eastAsia"/>
                  </w:rPr>
                  <w:t>行业导师姓名　职称</w:t>
                </w:r>
              </w:p>
            </w:tc>
          </w:sdtContent>
        </w:sdt>
      </w:tr>
    </w:tbl>
    <w:p w14:paraId="3E5BAD6A"/>
    <w:p w14:paraId="5E1888AF"/>
    <w:p w14:paraId="6E407EDC"/>
    <w:p w14:paraId="3B4F9D3B">
      <w:pPr>
        <w:jc w:val="center"/>
      </w:pPr>
      <w:sdt>
        <w:sdtPr>
          <w:rPr>
            <w:rFonts w:hint="eastAsia"/>
            <w:sz w:val="28"/>
            <w:szCs w:val="28"/>
          </w:rPr>
          <w:id w:val="1765568657"/>
          <w:lock w:val="sdtLocked"/>
          <w:placeholder>
            <w:docPart w:val="{3e61f7c8-6d24-4856-a9cf-f39aec815dd8}"/>
          </w:placeholder>
          <w:showingPlcHdr/>
          <w15:appearance w15:val="hidden"/>
          <w:text/>
        </w:sdtPr>
        <w:sdtEndPr>
          <w:rPr>
            <w:rFonts w:hint="eastAsia"/>
            <w:sz w:val="28"/>
            <w:szCs w:val="28"/>
          </w:rPr>
        </w:sdtEndPr>
        <w:sdtContent>
          <w:r>
            <w:rPr>
              <w:rStyle w:val="64"/>
              <w:rFonts w:hint="eastAsia"/>
            </w:rPr>
            <w:t xml:space="preserve">填写预计获得学位年月  </w:t>
          </w:r>
        </w:sdtContent>
      </w:sdt>
      <w:r>
        <w:rPr>
          <w:rFonts w:hint="eastAsia" w:asciiTheme="majorEastAsia" w:hAnsiTheme="majorEastAsia" w:eastAsiaTheme="majorEastAsia"/>
          <w:sz w:val="28"/>
          <w:szCs w:val="28"/>
        </w:rPr>
        <w:t>年</w:t>
      </w:r>
      <w:sdt>
        <w:sdtPr>
          <w:rPr>
            <w:rFonts w:hint="eastAsia"/>
            <w:sz w:val="28"/>
            <w:szCs w:val="28"/>
          </w:rPr>
          <w:id w:val="1719015353"/>
          <w:lock w:val="sdtLocked"/>
          <w:placeholder>
            <w:docPart w:val="{0120a1d1-a4d1-4559-b7f8-20f28d289393}"/>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asciiTheme="majorEastAsia" w:hAnsiTheme="majorEastAsia" w:eastAsiaTheme="majorEastAsia"/>
          <w:sz w:val="28"/>
          <w:szCs w:val="28"/>
        </w:rPr>
        <w:t>月</w:t>
      </w:r>
      <w:r>
        <w:br w:type="page"/>
      </w:r>
    </w:p>
    <w:p w14:paraId="784FBC11">
      <w:pPr>
        <w:widowControl/>
        <w:jc w:val="left"/>
      </w:pPr>
    </w:p>
    <w:p w14:paraId="25EEDE00">
      <w:pPr>
        <w:widowControl/>
        <w:jc w:val="left"/>
      </w:pPr>
    </w:p>
    <w:p w14:paraId="57C7695C">
      <w:pPr>
        <w:widowControl/>
        <w:jc w:val="left"/>
      </w:pPr>
      <w:r>
        <w:rPr>
          <w:sz w:val="24"/>
        </w:rPr>
        <mc:AlternateContent>
          <mc:Choice Requires="wps">
            <w:drawing>
              <wp:anchor distT="45720" distB="45720" distL="114300" distR="114300" simplePos="0" relativeHeight="251663360" behindDoc="0" locked="0" layoutInCell="1" allowOverlap="1">
                <wp:simplePos x="0" y="0"/>
                <wp:positionH relativeFrom="column">
                  <wp:posOffset>1724025</wp:posOffset>
                </wp:positionH>
                <wp:positionV relativeFrom="paragraph">
                  <wp:posOffset>45085</wp:posOffset>
                </wp:positionV>
                <wp:extent cx="2283460" cy="1756410"/>
                <wp:effectExtent l="12700" t="12700" r="15240" b="21590"/>
                <wp:wrapNone/>
                <wp:docPr id="18948329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C15D79">
                            <w:pPr>
                              <w:jc w:val="center"/>
                            </w:pPr>
                            <w:r>
                              <w:rPr>
                                <w:rFonts w:hint="eastAsia"/>
                              </w:rPr>
                              <w:t>【封二】（封面的背面）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35.75pt;margin-top:3.55pt;height:138.3pt;width:179.8pt;z-index:251663360;mso-width-relative:margin;mso-height-relative:margin;mso-width-percent:400;mso-height-percent:200;" fillcolor="#FFFFFF [3201]" filled="t" stroked="t" coordsize="21600,21600" o:gfxdata="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jczzzNcA&#10;AAAJAQAADwAAAAAAAAABACAAAAAiAAAAZHJzL2Rvd25yZXYueG1sUEsBAhQAFAAAAAgAh07iQFs6&#10;9QJZAgAAqQQAAA4AAAAAAAAAAQAgAAAAJgEAAGRycy9lMm9Eb2MueG1sUEsFBgAAAAAGAAYAWQEA&#10;APEFAAAAAA==&#10;">
                <v:fill on="t" focussize="0,0"/>
                <v:stroke weight="2pt" color="#F79646 [3209]" joinstyle="round"/>
                <v:imagedata o:title=""/>
                <o:lock v:ext="edit" aspectratio="f"/>
                <v:textbox style="mso-fit-shape-to-text:t;">
                  <w:txbxContent>
                    <w:p w14:paraId="2AC15D79">
                      <w:pPr>
                        <w:jc w:val="center"/>
                      </w:pPr>
                      <w:r>
                        <w:rPr>
                          <w:rFonts w:hint="eastAsia"/>
                        </w:rPr>
                        <w:t>【封二】（封面的背面）</w:t>
                      </w:r>
                    </w:p>
                  </w:txbxContent>
                </v:textbox>
              </v:shape>
            </w:pict>
          </mc:Fallback>
        </mc:AlternateContent>
      </w:r>
    </w:p>
    <w:p w14:paraId="1821D394">
      <w:pPr>
        <w:widowControl/>
        <w:jc w:val="left"/>
      </w:pPr>
    </w:p>
    <w:p w14:paraId="64BE907B">
      <w:pPr>
        <w:widowControl/>
        <w:jc w:val="left"/>
      </w:pPr>
    </w:p>
    <w:p w14:paraId="7DB9B5F7">
      <w:pPr>
        <w:widowControl/>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答辩委员会名单</w:t>
      </w:r>
    </w:p>
    <w:p w14:paraId="5886CB86">
      <w:pPr>
        <w:widowControl/>
        <w:jc w:val="left"/>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984"/>
        <w:gridCol w:w="2127"/>
        <w:gridCol w:w="3536"/>
      </w:tblGrid>
      <w:tr w14:paraId="3DF9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l2br w:val="single" w:color="auto" w:sz="4" w:space="0"/>
            </w:tcBorders>
            <w:vAlign w:val="center"/>
          </w:tcPr>
          <w:p w14:paraId="463ACB31">
            <w:pPr>
              <w:widowControl/>
              <w:jc w:val="center"/>
              <w:rPr>
                <w:sz w:val="28"/>
                <w:szCs w:val="28"/>
              </w:rPr>
            </w:pPr>
          </w:p>
        </w:tc>
        <w:tc>
          <w:tcPr>
            <w:tcW w:w="1984" w:type="dxa"/>
            <w:vAlign w:val="center"/>
          </w:tcPr>
          <w:p w14:paraId="5891E5C6">
            <w:pPr>
              <w:widowControl/>
              <w:jc w:val="center"/>
              <w:rPr>
                <w:sz w:val="28"/>
                <w:szCs w:val="28"/>
              </w:rPr>
            </w:pPr>
            <w:r>
              <w:rPr>
                <w:rFonts w:hint="eastAsia"/>
                <w:sz w:val="28"/>
                <w:szCs w:val="28"/>
              </w:rPr>
              <w:t>姓名</w:t>
            </w:r>
          </w:p>
        </w:tc>
        <w:tc>
          <w:tcPr>
            <w:tcW w:w="2127" w:type="dxa"/>
            <w:vAlign w:val="center"/>
          </w:tcPr>
          <w:p w14:paraId="7028C800">
            <w:pPr>
              <w:widowControl/>
              <w:jc w:val="center"/>
              <w:rPr>
                <w:sz w:val="28"/>
                <w:szCs w:val="28"/>
              </w:rPr>
            </w:pPr>
            <w:r>
              <w:rPr>
                <w:rFonts w:hint="eastAsia"/>
                <w:sz w:val="28"/>
                <w:szCs w:val="28"/>
              </w:rPr>
              <w:t>职称</w:t>
            </w:r>
          </w:p>
        </w:tc>
        <w:tc>
          <w:tcPr>
            <w:tcW w:w="3536" w:type="dxa"/>
            <w:vAlign w:val="center"/>
          </w:tcPr>
          <w:p w14:paraId="678D977E">
            <w:pPr>
              <w:widowControl/>
              <w:jc w:val="center"/>
              <w:rPr>
                <w:sz w:val="28"/>
                <w:szCs w:val="28"/>
              </w:rPr>
            </w:pPr>
            <w:r>
              <w:rPr>
                <w:rFonts w:hint="eastAsia"/>
                <w:sz w:val="28"/>
                <w:szCs w:val="28"/>
              </w:rPr>
              <w:t>工作单位</w:t>
            </w:r>
          </w:p>
        </w:tc>
      </w:tr>
      <w:tr w14:paraId="7D43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2CB1C416">
            <w:pPr>
              <w:widowControl/>
              <w:jc w:val="center"/>
              <w:rPr>
                <w:sz w:val="28"/>
                <w:szCs w:val="28"/>
              </w:rPr>
            </w:pPr>
            <w:r>
              <w:rPr>
                <w:rFonts w:hint="eastAsia"/>
                <w:sz w:val="28"/>
                <w:szCs w:val="28"/>
              </w:rPr>
              <w:t>主席</w:t>
            </w:r>
          </w:p>
        </w:tc>
        <w:tc>
          <w:tcPr>
            <w:tcW w:w="1984" w:type="dxa"/>
            <w:vAlign w:val="center"/>
          </w:tcPr>
          <w:p w14:paraId="3ABC4766">
            <w:pPr>
              <w:widowControl/>
              <w:jc w:val="center"/>
              <w:rPr>
                <w:sz w:val="28"/>
                <w:szCs w:val="28"/>
              </w:rPr>
            </w:pPr>
          </w:p>
        </w:tc>
        <w:tc>
          <w:tcPr>
            <w:tcW w:w="2127" w:type="dxa"/>
            <w:vAlign w:val="center"/>
          </w:tcPr>
          <w:p w14:paraId="640BF1DD">
            <w:pPr>
              <w:widowControl/>
              <w:jc w:val="center"/>
              <w:rPr>
                <w:sz w:val="28"/>
                <w:szCs w:val="28"/>
              </w:rPr>
            </w:pPr>
          </w:p>
        </w:tc>
        <w:tc>
          <w:tcPr>
            <w:tcW w:w="3536" w:type="dxa"/>
            <w:vAlign w:val="center"/>
          </w:tcPr>
          <w:p w14:paraId="394A9502">
            <w:pPr>
              <w:widowControl/>
              <w:jc w:val="center"/>
              <w:rPr>
                <w:sz w:val="28"/>
                <w:szCs w:val="28"/>
              </w:rPr>
            </w:pPr>
          </w:p>
        </w:tc>
      </w:tr>
      <w:tr w14:paraId="6A5F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1ACF63D2">
            <w:pPr>
              <w:widowControl/>
              <w:jc w:val="center"/>
              <w:rPr>
                <w:sz w:val="28"/>
                <w:szCs w:val="28"/>
              </w:rPr>
            </w:pPr>
            <w:r>
              <w:rPr>
                <w:rFonts w:hint="eastAsia"/>
                <w:sz w:val="28"/>
                <w:szCs w:val="28"/>
              </w:rPr>
              <w:t>委员</w:t>
            </w:r>
          </w:p>
        </w:tc>
        <w:tc>
          <w:tcPr>
            <w:tcW w:w="1984" w:type="dxa"/>
            <w:vAlign w:val="center"/>
          </w:tcPr>
          <w:p w14:paraId="2135404A">
            <w:pPr>
              <w:widowControl/>
              <w:jc w:val="center"/>
              <w:rPr>
                <w:sz w:val="28"/>
                <w:szCs w:val="28"/>
              </w:rPr>
            </w:pPr>
          </w:p>
        </w:tc>
        <w:tc>
          <w:tcPr>
            <w:tcW w:w="2127" w:type="dxa"/>
            <w:vAlign w:val="center"/>
          </w:tcPr>
          <w:p w14:paraId="12F017EC">
            <w:pPr>
              <w:widowControl/>
              <w:jc w:val="center"/>
              <w:rPr>
                <w:sz w:val="28"/>
                <w:szCs w:val="28"/>
              </w:rPr>
            </w:pPr>
          </w:p>
        </w:tc>
        <w:tc>
          <w:tcPr>
            <w:tcW w:w="3536" w:type="dxa"/>
            <w:vAlign w:val="center"/>
          </w:tcPr>
          <w:p w14:paraId="1FD285B0">
            <w:pPr>
              <w:widowControl/>
              <w:jc w:val="center"/>
              <w:rPr>
                <w:sz w:val="28"/>
                <w:szCs w:val="28"/>
              </w:rPr>
            </w:pPr>
          </w:p>
        </w:tc>
      </w:tr>
      <w:tr w14:paraId="76EB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6BBE0418">
            <w:pPr>
              <w:widowControl/>
              <w:jc w:val="center"/>
              <w:rPr>
                <w:sz w:val="28"/>
                <w:szCs w:val="28"/>
              </w:rPr>
            </w:pPr>
          </w:p>
        </w:tc>
        <w:tc>
          <w:tcPr>
            <w:tcW w:w="1984" w:type="dxa"/>
            <w:vAlign w:val="center"/>
          </w:tcPr>
          <w:p w14:paraId="73B00D98">
            <w:pPr>
              <w:widowControl/>
              <w:jc w:val="center"/>
              <w:rPr>
                <w:sz w:val="28"/>
                <w:szCs w:val="28"/>
              </w:rPr>
            </w:pPr>
          </w:p>
        </w:tc>
        <w:tc>
          <w:tcPr>
            <w:tcW w:w="2127" w:type="dxa"/>
            <w:vAlign w:val="center"/>
          </w:tcPr>
          <w:p w14:paraId="44066A3E">
            <w:pPr>
              <w:widowControl/>
              <w:jc w:val="center"/>
              <w:rPr>
                <w:sz w:val="28"/>
                <w:szCs w:val="28"/>
              </w:rPr>
            </w:pPr>
          </w:p>
        </w:tc>
        <w:tc>
          <w:tcPr>
            <w:tcW w:w="3536" w:type="dxa"/>
            <w:vAlign w:val="center"/>
          </w:tcPr>
          <w:p w14:paraId="4526A743">
            <w:pPr>
              <w:widowControl/>
              <w:jc w:val="center"/>
              <w:rPr>
                <w:sz w:val="28"/>
                <w:szCs w:val="28"/>
              </w:rPr>
            </w:pPr>
          </w:p>
        </w:tc>
      </w:tr>
      <w:tr w14:paraId="265B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45AFCB95">
            <w:pPr>
              <w:widowControl/>
              <w:jc w:val="center"/>
              <w:rPr>
                <w:sz w:val="28"/>
                <w:szCs w:val="28"/>
              </w:rPr>
            </w:pPr>
          </w:p>
        </w:tc>
        <w:tc>
          <w:tcPr>
            <w:tcW w:w="1984" w:type="dxa"/>
            <w:vAlign w:val="center"/>
          </w:tcPr>
          <w:p w14:paraId="0421E5EE">
            <w:pPr>
              <w:widowControl/>
              <w:jc w:val="center"/>
              <w:rPr>
                <w:sz w:val="28"/>
                <w:szCs w:val="28"/>
              </w:rPr>
            </w:pPr>
          </w:p>
        </w:tc>
        <w:tc>
          <w:tcPr>
            <w:tcW w:w="2127" w:type="dxa"/>
            <w:vAlign w:val="center"/>
          </w:tcPr>
          <w:p w14:paraId="237E83ED">
            <w:pPr>
              <w:widowControl/>
              <w:jc w:val="center"/>
              <w:rPr>
                <w:sz w:val="28"/>
                <w:szCs w:val="28"/>
              </w:rPr>
            </w:pPr>
          </w:p>
        </w:tc>
        <w:tc>
          <w:tcPr>
            <w:tcW w:w="3536" w:type="dxa"/>
            <w:vAlign w:val="center"/>
          </w:tcPr>
          <w:p w14:paraId="4797D1DF">
            <w:pPr>
              <w:widowControl/>
              <w:jc w:val="center"/>
              <w:rPr>
                <w:sz w:val="28"/>
                <w:szCs w:val="28"/>
              </w:rPr>
            </w:pPr>
          </w:p>
        </w:tc>
      </w:tr>
      <w:tr w14:paraId="1F6D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124F787C">
            <w:pPr>
              <w:widowControl/>
              <w:jc w:val="center"/>
              <w:rPr>
                <w:sz w:val="28"/>
                <w:szCs w:val="28"/>
              </w:rPr>
            </w:pPr>
          </w:p>
        </w:tc>
        <w:tc>
          <w:tcPr>
            <w:tcW w:w="1984" w:type="dxa"/>
            <w:vAlign w:val="center"/>
          </w:tcPr>
          <w:p w14:paraId="0DCDE565">
            <w:pPr>
              <w:widowControl/>
              <w:jc w:val="center"/>
              <w:rPr>
                <w:sz w:val="28"/>
                <w:szCs w:val="28"/>
              </w:rPr>
            </w:pPr>
          </w:p>
        </w:tc>
        <w:tc>
          <w:tcPr>
            <w:tcW w:w="2127" w:type="dxa"/>
            <w:vAlign w:val="center"/>
          </w:tcPr>
          <w:p w14:paraId="2EE61DF2">
            <w:pPr>
              <w:widowControl/>
              <w:jc w:val="center"/>
              <w:rPr>
                <w:sz w:val="28"/>
                <w:szCs w:val="28"/>
              </w:rPr>
            </w:pPr>
          </w:p>
        </w:tc>
        <w:tc>
          <w:tcPr>
            <w:tcW w:w="3536" w:type="dxa"/>
            <w:vAlign w:val="center"/>
          </w:tcPr>
          <w:p w14:paraId="4D17A6FA">
            <w:pPr>
              <w:widowControl/>
              <w:jc w:val="center"/>
              <w:rPr>
                <w:sz w:val="28"/>
                <w:szCs w:val="28"/>
              </w:rPr>
            </w:pPr>
          </w:p>
        </w:tc>
      </w:tr>
      <w:tr w14:paraId="4A22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4D553515">
            <w:pPr>
              <w:widowControl/>
              <w:jc w:val="center"/>
              <w:rPr>
                <w:sz w:val="28"/>
                <w:szCs w:val="28"/>
              </w:rPr>
            </w:pPr>
            <w:r>
              <w:rPr>
                <w:rFonts w:hint="eastAsia"/>
                <w:sz w:val="28"/>
                <w:szCs w:val="28"/>
              </w:rPr>
              <w:t>秘书</w:t>
            </w:r>
          </w:p>
        </w:tc>
        <w:tc>
          <w:tcPr>
            <w:tcW w:w="1984" w:type="dxa"/>
            <w:vAlign w:val="center"/>
          </w:tcPr>
          <w:p w14:paraId="58E235FA">
            <w:pPr>
              <w:widowControl/>
              <w:jc w:val="center"/>
              <w:rPr>
                <w:sz w:val="28"/>
                <w:szCs w:val="28"/>
              </w:rPr>
            </w:pPr>
          </w:p>
        </w:tc>
        <w:tc>
          <w:tcPr>
            <w:tcW w:w="2127" w:type="dxa"/>
            <w:vAlign w:val="center"/>
          </w:tcPr>
          <w:p w14:paraId="793D9F5E">
            <w:pPr>
              <w:widowControl/>
              <w:jc w:val="center"/>
              <w:rPr>
                <w:sz w:val="28"/>
                <w:szCs w:val="28"/>
              </w:rPr>
            </w:pPr>
          </w:p>
        </w:tc>
        <w:tc>
          <w:tcPr>
            <w:tcW w:w="3536" w:type="dxa"/>
            <w:vAlign w:val="center"/>
          </w:tcPr>
          <w:p w14:paraId="4C17DA66">
            <w:pPr>
              <w:widowControl/>
              <w:jc w:val="center"/>
              <w:rPr>
                <w:sz w:val="28"/>
                <w:szCs w:val="28"/>
              </w:rPr>
            </w:pPr>
          </w:p>
        </w:tc>
      </w:tr>
    </w:tbl>
    <w:p w14:paraId="240850E1">
      <w:pPr>
        <w:widowControl/>
        <w:jc w:val="left"/>
      </w:pPr>
    </w:p>
    <w:p w14:paraId="6E139716">
      <w:pPr>
        <w:widowControl/>
        <w:jc w:val="left"/>
      </w:pPr>
    </w:p>
    <w:p w14:paraId="00980E8C">
      <w:pPr>
        <w:widowControl/>
        <w:jc w:val="left"/>
      </w:pPr>
    </w:p>
    <w:p w14:paraId="6472C588">
      <w:pPr>
        <w:widowControl/>
        <w:jc w:val="left"/>
        <w:rPr>
          <w:sz w:val="28"/>
          <w:szCs w:val="28"/>
        </w:rPr>
      </w:pPr>
      <w:r>
        <w:rPr>
          <w:rFonts w:hint="eastAsia"/>
          <w:sz w:val="28"/>
          <w:szCs w:val="28"/>
        </w:rPr>
        <w:t>答辩日期：</w:t>
      </w:r>
      <w:sdt>
        <w:sdtPr>
          <w:rPr>
            <w:rFonts w:hint="eastAsia"/>
            <w:sz w:val="28"/>
            <w:szCs w:val="28"/>
          </w:rPr>
          <w:id w:val="392089282"/>
          <w:lock w:val="sdtLocked"/>
          <w:placeholder>
            <w:docPart w:val="{09d3f411-ccf3-46e9-8438-8595bb0048b5}"/>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年</w:t>
      </w:r>
      <w:sdt>
        <w:sdtPr>
          <w:rPr>
            <w:rFonts w:hint="eastAsia"/>
            <w:sz w:val="28"/>
            <w:szCs w:val="28"/>
          </w:rPr>
          <w:id w:val="-20168005"/>
          <w:placeholder>
            <w:docPart w:val="{4bd4f5a2-b8ad-440b-96d6-6402ebc76282}"/>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月</w:t>
      </w:r>
      <w:sdt>
        <w:sdtPr>
          <w:rPr>
            <w:rFonts w:hint="eastAsia"/>
            <w:sz w:val="28"/>
            <w:szCs w:val="28"/>
          </w:rPr>
          <w:id w:val="1033303782"/>
          <w:placeholder>
            <w:docPart w:val="{0ae73ff3-ce5a-43b5-a5fa-89111e7ba1ed}"/>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日</w:t>
      </w:r>
    </w:p>
    <w:p w14:paraId="2210E6D9">
      <w:pPr>
        <w:widowControl/>
        <w:jc w:val="left"/>
      </w:pPr>
    </w:p>
    <w:p w14:paraId="7D74DC1C">
      <w:pPr>
        <w:widowControl/>
        <w:jc w:val="left"/>
      </w:pPr>
      <w:r>
        <w:br w:type="page"/>
      </w:r>
    </w:p>
    <w:p w14:paraId="072D10BE"/>
    <w:p w14:paraId="66E7F228"/>
    <w:p w14:paraId="6B41DE04">
      <w:r>
        <w:rPr>
          <w:sz w:val="24"/>
        </w:rPr>
        <mc:AlternateContent>
          <mc:Choice Requires="wps">
            <w:drawing>
              <wp:anchor distT="45720" distB="45720" distL="114300" distR="114300" simplePos="0" relativeHeight="251665408" behindDoc="0" locked="0" layoutInCell="1" allowOverlap="1">
                <wp:simplePos x="0" y="0"/>
                <wp:positionH relativeFrom="column">
                  <wp:posOffset>1590675</wp:posOffset>
                </wp:positionH>
                <wp:positionV relativeFrom="paragraph">
                  <wp:posOffset>45085</wp:posOffset>
                </wp:positionV>
                <wp:extent cx="2283460" cy="1756410"/>
                <wp:effectExtent l="12700" t="12700" r="15240" b="21590"/>
                <wp:wrapNone/>
                <wp:docPr id="91510495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3FE8544E">
                            <w:pPr>
                              <w:jc w:val="center"/>
                            </w:pPr>
                            <w:r>
                              <w:rPr>
                                <w:rFonts w:hint="eastAsia"/>
                              </w:rPr>
                              <w:t>【扉页】（封面翻开后内文第一页）</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25.25pt;margin-top:3.55pt;height:138.3pt;width:179.8pt;z-index:251665408;mso-width-relative:margin;mso-height-relative:margin;mso-width-percent:400;mso-height-percent:200;" fillcolor="#FFFFFF [3201]" filled="t" stroked="t" coordsize="21600,21600" o:gfxdata="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08wwi9cA&#10;AAAJAQAADwAAAAAAAAABACAAAAAiAAAAZHJzL2Rvd25yZXYueG1sUEsBAhQAFAAAAAgAh07iQPk0&#10;F+xZAgAAqAQAAA4AAAAAAAAAAQAgAAAAJgEAAGRycy9lMm9Eb2MueG1sUEsFBgAAAAAGAAYAWQEA&#10;APEFAAAAAA==&#10;">
                <v:fill on="t" focussize="0,0"/>
                <v:stroke weight="2pt" color="#F79646 [3209]" joinstyle="round"/>
                <v:imagedata o:title=""/>
                <o:lock v:ext="edit" aspectratio="f"/>
                <v:textbox style="mso-fit-shape-to-text:t;">
                  <w:txbxContent>
                    <w:p w14:paraId="3FE8544E">
                      <w:pPr>
                        <w:jc w:val="center"/>
                      </w:pPr>
                      <w:r>
                        <w:rPr>
                          <w:rFonts w:hint="eastAsia"/>
                        </w:rPr>
                        <w:t>【扉页】（封面翻开后内文第一页）</w:t>
                      </w:r>
                    </w:p>
                  </w:txbxContent>
                </v:textbox>
              </v:shape>
            </w:pict>
          </mc:Fallback>
        </mc:AlternateContent>
      </w:r>
    </w:p>
    <w:p w14:paraId="58EF3876"/>
    <w:p w14:paraId="6C55EE31"/>
    <w:p w14:paraId="379FBA26"/>
    <w:p w14:paraId="05B51076">
      <w:pPr>
        <w:jc w:val="center"/>
        <w:rPr>
          <w:b/>
          <w:bCs/>
          <w:sz w:val="56"/>
          <w:szCs w:val="56"/>
        </w:rPr>
      </w:pPr>
      <w:r>
        <w:rPr>
          <w:rFonts w:hint="eastAsia"/>
          <w:b/>
          <w:bCs/>
          <w:sz w:val="56"/>
          <w:szCs w:val="56"/>
        </w:rPr>
        <w:t>Shandong Agricultural</w:t>
      </w:r>
      <w:r>
        <w:rPr>
          <w:b/>
          <w:bCs/>
          <w:sz w:val="56"/>
          <w:szCs w:val="56"/>
        </w:rPr>
        <w:t xml:space="preserve"> University</w:t>
      </w:r>
    </w:p>
    <w:p w14:paraId="0E452B61"/>
    <w:p w14:paraId="0E9DD7AC"/>
    <w:p w14:paraId="58679422">
      <w:pPr>
        <w:jc w:val="center"/>
        <w:rPr>
          <w:rFonts w:ascii="Georgia" w:hAnsi="Georgia"/>
          <w:sz w:val="56"/>
          <w:szCs w:val="56"/>
        </w:rPr>
      </w:pPr>
      <w:r>
        <w:rPr>
          <w:rFonts w:ascii="Georgia" w:hAnsi="Georgia"/>
          <w:sz w:val="56"/>
          <w:szCs w:val="56"/>
        </w:rPr>
        <w:t xml:space="preserve">A </w:t>
      </w:r>
      <w:r>
        <w:rPr>
          <w:rFonts w:hint="eastAsia" w:ascii="Georgia" w:hAnsi="Georgia"/>
          <w:sz w:val="56"/>
          <w:szCs w:val="56"/>
        </w:rPr>
        <w:t xml:space="preserve">Thesis </w:t>
      </w:r>
      <w:r>
        <w:rPr>
          <w:rFonts w:ascii="Georgia" w:hAnsi="Georgia"/>
          <w:sz w:val="56"/>
          <w:szCs w:val="56"/>
        </w:rPr>
        <w:t xml:space="preserve">for </w:t>
      </w:r>
      <w:r>
        <w:rPr>
          <w:rFonts w:hint="eastAsia" w:ascii="Georgia" w:hAnsi="Georgia"/>
          <w:sz w:val="56"/>
          <w:szCs w:val="56"/>
        </w:rPr>
        <w:t>Master</w:t>
      </w:r>
      <w:r>
        <w:rPr>
          <w:rFonts w:ascii="Georgia" w:hAnsi="Georgia"/>
          <w:sz w:val="56"/>
          <w:szCs w:val="56"/>
        </w:rPr>
        <w:t>’</w:t>
      </w:r>
      <w:r>
        <w:rPr>
          <w:rFonts w:hint="eastAsia" w:ascii="Georgia" w:hAnsi="Georgia"/>
          <w:sz w:val="56"/>
          <w:szCs w:val="56"/>
        </w:rPr>
        <w:t>s</w:t>
      </w:r>
      <w:r>
        <w:rPr>
          <w:rFonts w:ascii="Georgia" w:hAnsi="Georgia"/>
          <w:sz w:val="56"/>
          <w:szCs w:val="56"/>
        </w:rPr>
        <w:t xml:space="preserve"> Degree</w:t>
      </w:r>
    </w:p>
    <w:p w14:paraId="18AAD477">
      <w:pPr>
        <w:jc w:val="center"/>
        <w:rPr>
          <w:rFonts w:ascii="Georgia" w:hAnsi="Georgia"/>
          <w:sz w:val="40"/>
          <w:szCs w:val="40"/>
        </w:rPr>
      </w:pPr>
      <w:r>
        <w:rPr>
          <w:rFonts w:ascii="Georgia" w:hAnsi="Georgia"/>
          <w:sz w:val="40"/>
          <w:szCs w:val="40"/>
        </w:rPr>
        <w:t>（Professional Degree）</w:t>
      </w:r>
    </w:p>
    <w:p w14:paraId="6CA59339"/>
    <w:p w14:paraId="270DE22D"/>
    <w:sdt>
      <w:sdtPr>
        <w:rPr>
          <w:sz w:val="44"/>
          <w:szCs w:val="44"/>
        </w:rPr>
        <w:id w:val="1026378729"/>
        <w:lock w:val="sdtLocked"/>
        <w:placeholder>
          <w:docPart w:val="{572f12ab-1eb0-4a42-96eb-4cc5c67c0201}"/>
        </w:placeholder>
        <w15:appearance w15:val="hidden"/>
        <w:text/>
      </w:sdtPr>
      <w:sdtEndPr>
        <w:rPr>
          <w:sz w:val="44"/>
          <w:szCs w:val="44"/>
        </w:rPr>
      </w:sdtEndPr>
      <w:sdtContent>
        <w:p w14:paraId="5F7784A5">
          <w:pPr>
            <w:jc w:val="center"/>
            <w:rPr>
              <w:sz w:val="44"/>
              <w:szCs w:val="44"/>
            </w:rPr>
          </w:pPr>
          <w:r>
            <w:rPr>
              <w:sz w:val="44"/>
              <w:szCs w:val="44"/>
            </w:rPr>
            <w:t>Construction and Empirical Analysis on Evaluation Index System of Rural Development— A Case Study of Dongying City</w:t>
          </w:r>
        </w:p>
      </w:sdtContent>
    </w:sdt>
    <w:p w14:paraId="7FF6ED85">
      <w:pPr>
        <w:jc w:val="center"/>
        <w:rPr>
          <w:rFonts w:hint="default" w:eastAsia="宋体"/>
          <w:sz w:val="44"/>
          <w:szCs w:val="44"/>
          <w:highlight w:val="green"/>
          <w:lang w:val="en-US" w:eastAsia="zh-CN"/>
        </w:rPr>
      </w:pPr>
      <w:r>
        <w:rPr>
          <w:rFonts w:hint="eastAsia"/>
          <w:sz w:val="44"/>
          <w:szCs w:val="44"/>
          <w:highlight w:val="green"/>
          <w:lang w:val="en-US" w:eastAsia="zh-CN"/>
        </w:rPr>
        <w:t>实词的第一个字母要大写</w:t>
      </w:r>
    </w:p>
    <w:p w14:paraId="7C2A9A77"/>
    <w:p w14:paraId="0974D2D3"/>
    <w:tbl>
      <w:tblPr>
        <w:tblStyle w:val="30"/>
        <w:tblW w:w="79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0"/>
        <w:gridCol w:w="5528"/>
      </w:tblGrid>
      <w:tr w14:paraId="3956E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61C8AB69">
            <w:pPr>
              <w:spacing w:line="360" w:lineRule="exact"/>
              <w:jc w:val="right"/>
              <w:rPr>
                <w:b/>
                <w:bCs/>
                <w:sz w:val="28"/>
                <w:szCs w:val="28"/>
              </w:rPr>
            </w:pPr>
            <w:r>
              <w:rPr>
                <w:rFonts w:hint="eastAsia"/>
                <w:b/>
                <w:bCs/>
                <w:sz w:val="28"/>
                <w:szCs w:val="28"/>
              </w:rPr>
              <w:t>College：</w:t>
            </w:r>
          </w:p>
        </w:tc>
        <w:sdt>
          <w:sdtPr>
            <w:rPr>
              <w:rFonts w:hint="eastAsia"/>
              <w:sz w:val="28"/>
              <w:szCs w:val="28"/>
            </w:rPr>
            <w:id w:val="-1537426662"/>
            <w:lock w:val="sdtLocked"/>
            <w:placeholder>
              <w:docPart w:val="{00d56454-e802-4719-a384-845390af9788}"/>
            </w:placeholder>
            <w15:appearance w15:val="hidden"/>
            <w:text/>
          </w:sdtPr>
          <w:sdtEndPr>
            <w:rPr>
              <w:rFonts w:hint="eastAsia"/>
              <w:sz w:val="28"/>
              <w:szCs w:val="28"/>
            </w:rPr>
          </w:sdtEndPr>
          <w:sdtContent>
            <w:tc>
              <w:tcPr>
                <w:tcW w:w="5528" w:type="dxa"/>
                <w:tcBorders>
                  <w:bottom w:val="single" w:color="auto" w:sz="4" w:space="0"/>
                </w:tcBorders>
                <w:vAlign w:val="bottom"/>
              </w:tcPr>
              <w:p w14:paraId="6A64D546">
                <w:pPr>
                  <w:spacing w:line="360" w:lineRule="exact"/>
                  <w:jc w:val="center"/>
                  <w:rPr>
                    <w:sz w:val="28"/>
                    <w:szCs w:val="28"/>
                  </w:rPr>
                </w:pPr>
                <w:r>
                  <w:rPr>
                    <w:rFonts w:hint="eastAsia"/>
                    <w:sz w:val="28"/>
                    <w:szCs w:val="28"/>
                  </w:rPr>
                  <w:t>College of Public Administration</w:t>
                </w:r>
              </w:p>
            </w:tc>
          </w:sdtContent>
        </w:sdt>
      </w:tr>
      <w:tr w14:paraId="67A80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5514F99C">
            <w:pPr>
              <w:spacing w:line="360" w:lineRule="exact"/>
              <w:jc w:val="right"/>
              <w:rPr>
                <w:b/>
                <w:bCs/>
                <w:sz w:val="28"/>
                <w:szCs w:val="28"/>
              </w:rPr>
            </w:pPr>
            <w:r>
              <w:rPr>
                <w:rFonts w:hint="eastAsia"/>
                <w:b/>
                <w:bCs/>
                <w:sz w:val="28"/>
                <w:szCs w:val="28"/>
              </w:rPr>
              <w:t>Major：</w:t>
            </w:r>
          </w:p>
        </w:tc>
        <w:sdt>
          <w:sdtPr>
            <w:rPr>
              <w:rFonts w:hint="eastAsia"/>
              <w:sz w:val="28"/>
              <w:szCs w:val="28"/>
            </w:rPr>
            <w:id w:val="878206867"/>
            <w:lock w:val="sdtLocked"/>
            <w:placeholder>
              <w:docPart w:val="{48ca4483-7937-48f2-95b1-67189fd3b6c4}"/>
            </w:placeholde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20B8ABEB">
                <w:pPr>
                  <w:spacing w:line="360" w:lineRule="exact"/>
                  <w:jc w:val="center"/>
                  <w:rPr>
                    <w:sz w:val="28"/>
                    <w:szCs w:val="28"/>
                  </w:rPr>
                </w:pPr>
                <w:r>
                  <w:rPr>
                    <w:rFonts w:hint="eastAsia"/>
                    <w:sz w:val="28"/>
                    <w:szCs w:val="28"/>
                  </w:rPr>
                  <w:t>Public Administration</w:t>
                </w:r>
              </w:p>
            </w:tc>
          </w:sdtContent>
        </w:sdt>
      </w:tr>
      <w:tr w14:paraId="6170E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34F336FA">
            <w:pPr>
              <w:spacing w:line="360" w:lineRule="exact"/>
              <w:jc w:val="right"/>
              <w:rPr>
                <w:b/>
                <w:bCs/>
                <w:sz w:val="28"/>
                <w:szCs w:val="28"/>
              </w:rPr>
            </w:pPr>
            <w:r>
              <w:rPr>
                <w:rFonts w:hint="eastAsia"/>
                <w:b/>
                <w:bCs/>
                <w:sz w:val="28"/>
                <w:szCs w:val="28"/>
              </w:rPr>
              <w:t>Candidate：</w:t>
            </w:r>
          </w:p>
        </w:tc>
        <w:tc>
          <w:tcPr>
            <w:tcW w:w="5528" w:type="dxa"/>
            <w:tcBorders>
              <w:top w:val="single" w:color="auto" w:sz="4" w:space="0"/>
              <w:bottom w:val="single" w:color="auto" w:sz="4" w:space="0"/>
            </w:tcBorders>
            <w:vAlign w:val="bottom"/>
          </w:tcPr>
          <w:p w14:paraId="7190F76C">
            <w:pPr>
              <w:spacing w:line="360" w:lineRule="exact"/>
              <w:jc w:val="center"/>
              <w:rPr>
                <w:sz w:val="28"/>
                <w:szCs w:val="28"/>
              </w:rPr>
            </w:pPr>
            <w:r>
              <w:rPr>
                <w:rFonts w:hint="eastAsia"/>
                <w:sz w:val="28"/>
                <w:szCs w:val="28"/>
              </w:rPr>
              <w:t xml:space="preserve">   Wu Jiamin/ Li Shuang(三个字/两个字)</w:t>
            </w:r>
          </w:p>
        </w:tc>
      </w:tr>
      <w:tr w14:paraId="1F15F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441819D9">
            <w:pPr>
              <w:spacing w:line="360" w:lineRule="exact"/>
              <w:jc w:val="right"/>
              <w:rPr>
                <w:b/>
                <w:bCs/>
                <w:sz w:val="28"/>
                <w:szCs w:val="28"/>
              </w:rPr>
            </w:pPr>
            <w:r>
              <w:rPr>
                <w:rFonts w:hint="eastAsia"/>
                <w:b/>
                <w:bCs/>
                <w:sz w:val="28"/>
                <w:szCs w:val="28"/>
              </w:rPr>
              <w:t>Supervisor：</w:t>
            </w:r>
          </w:p>
        </w:tc>
        <w:sdt>
          <w:sdtPr>
            <w:rPr>
              <w:rFonts w:hint="eastAsia"/>
              <w:sz w:val="28"/>
              <w:szCs w:val="28"/>
            </w:rPr>
            <w:id w:val="1130355379"/>
            <w:lock w:val="sdtLocked"/>
            <w:placeholder>
              <w:docPart w:val="{77e4046d-1853-4b3e-89cc-3a3d67098aca}"/>
            </w:placeholde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6BA4747E">
                <w:pPr>
                  <w:spacing w:line="360" w:lineRule="exact"/>
                  <w:jc w:val="center"/>
                  <w:rPr>
                    <w:sz w:val="28"/>
                    <w:szCs w:val="28"/>
                  </w:rPr>
                </w:pPr>
                <w:r>
                  <w:rPr>
                    <w:rFonts w:hint="eastAsia"/>
                    <w:sz w:val="28"/>
                    <w:szCs w:val="28"/>
                  </w:rPr>
                  <w:t>Professor/Associate Professor, Wang Xiujuan</w:t>
                </w:r>
              </w:p>
            </w:tc>
          </w:sdtContent>
        </w:sdt>
      </w:tr>
      <w:tr w14:paraId="4ED09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29B3E7CB">
            <w:pPr>
              <w:spacing w:line="360" w:lineRule="exact"/>
              <w:jc w:val="right"/>
              <w:rPr>
                <w:b/>
                <w:bCs/>
                <w:sz w:val="28"/>
                <w:szCs w:val="28"/>
              </w:rPr>
            </w:pPr>
            <w:r>
              <w:rPr>
                <w:rFonts w:hint="eastAsia"/>
                <w:b/>
                <w:bCs/>
                <w:sz w:val="28"/>
                <w:szCs w:val="28"/>
              </w:rPr>
              <w:t>Co-Supervisor：</w:t>
            </w:r>
          </w:p>
        </w:tc>
        <w:sdt>
          <w:sdtPr>
            <w:rPr>
              <w:rFonts w:hint="eastAsia"/>
              <w:sz w:val="28"/>
              <w:szCs w:val="28"/>
            </w:rPr>
            <w:id w:val="2080326696"/>
            <w:lock w:val="sdtLocked"/>
            <w:placeholder>
              <w:docPart w:val="{0fe4b3bc-c794-47fa-aedb-31dd1e44bc35}"/>
            </w:placeholde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75D0300F">
                <w:pPr>
                  <w:spacing w:line="360" w:lineRule="exact"/>
                  <w:jc w:val="center"/>
                  <w:rPr>
                    <w:sz w:val="28"/>
                    <w:szCs w:val="28"/>
                  </w:rPr>
                </w:pPr>
                <w:r>
                  <w:rPr>
                    <w:rFonts w:hint="eastAsia"/>
                    <w:sz w:val="28"/>
                    <w:szCs w:val="28"/>
                  </w:rPr>
                  <w:t>Kong Xianghai</w:t>
                </w:r>
              </w:p>
            </w:tc>
          </w:sdtContent>
        </w:sdt>
      </w:tr>
    </w:tbl>
    <w:p w14:paraId="34268B7D">
      <w:pPr>
        <w:rPr>
          <w:b/>
          <w:bCs/>
        </w:rPr>
      </w:pPr>
    </w:p>
    <w:p w14:paraId="45C20CFB">
      <w:pPr>
        <w:rPr>
          <w:b/>
          <w:bCs/>
        </w:rPr>
      </w:pPr>
    </w:p>
    <w:p w14:paraId="4078D977">
      <w:pPr>
        <w:rPr>
          <w:b/>
          <w:bCs/>
        </w:rPr>
      </w:pPr>
    </w:p>
    <w:p w14:paraId="773B93BA">
      <w:pPr>
        <w:jc w:val="center"/>
        <w:rPr>
          <w:b/>
          <w:bCs/>
          <w:sz w:val="28"/>
          <w:szCs w:val="28"/>
        </w:rPr>
      </w:pPr>
      <w:r>
        <w:rPr>
          <w:rFonts w:hint="eastAsia"/>
          <w:b/>
          <w:bCs/>
          <w:sz w:val="28"/>
          <w:szCs w:val="28"/>
        </w:rPr>
        <w:t>June, 2025</w:t>
      </w:r>
    </w:p>
    <w:p w14:paraId="7E6DAE7D"/>
    <w:p w14:paraId="0A869524"/>
    <w:p w14:paraId="4F49AE66"/>
    <w:p w14:paraId="0DAB3A34">
      <w:r>
        <w:rPr>
          <w:sz w:val="24"/>
        </w:rPr>
        <mc:AlternateContent>
          <mc:Choice Requires="wps">
            <w:drawing>
              <wp:anchor distT="45720" distB="45720" distL="114300" distR="114300" simplePos="0" relativeHeight="251666432" behindDoc="0" locked="0" layoutInCell="1" allowOverlap="1">
                <wp:simplePos x="0" y="0"/>
                <wp:positionH relativeFrom="column">
                  <wp:posOffset>1495425</wp:posOffset>
                </wp:positionH>
                <wp:positionV relativeFrom="paragraph">
                  <wp:posOffset>45085</wp:posOffset>
                </wp:positionV>
                <wp:extent cx="2283460" cy="1756410"/>
                <wp:effectExtent l="12700" t="12700" r="15240" b="21590"/>
                <wp:wrapNone/>
                <wp:docPr id="145376389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68D4B0">
                            <w:pPr>
                              <w:jc w:val="center"/>
                            </w:pPr>
                            <w:r>
                              <w:rPr>
                                <w:rFonts w:hint="eastAsia"/>
                              </w:rPr>
                              <w:t>【版权页】（扉页背面）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17.75pt;margin-top:3.55pt;height:138.3pt;width:179.8pt;z-index:251666432;mso-width-relative:margin;mso-height-relative:margin;mso-width-percent:400;mso-height-percent:200;" fillcolor="#FFFFFF [3201]" filled="t" stroked="t" coordsize="21600,21600" o:gfxdata="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IyeD9cA&#10;AAAJAQAADwAAAAAAAAABACAAAAAiAAAAZHJzL2Rvd25yZXYueG1sUEsBAhQAFAAAAAgAh07iQOQb&#10;FVFZAgAAqQQAAA4AAAAAAAAAAQAgAAAAJgEAAGRycy9lMm9Eb2MueG1sUEsFBgAAAAAGAAYAWQEA&#10;APEFAAAAAA==&#10;">
                <v:fill on="t" focussize="0,0"/>
                <v:stroke weight="2pt" color="#F79646 [3209]" joinstyle="round"/>
                <v:imagedata o:title=""/>
                <o:lock v:ext="edit" aspectratio="f"/>
                <v:textbox style="mso-fit-shape-to-text:t;">
                  <w:txbxContent>
                    <w:p w14:paraId="7868D4B0">
                      <w:pPr>
                        <w:jc w:val="center"/>
                      </w:pPr>
                      <w:r>
                        <w:rPr>
                          <w:rFonts w:hint="eastAsia"/>
                        </w:rPr>
                        <w:t>【版权页】（扉页背面）</w:t>
                      </w:r>
                    </w:p>
                  </w:txbxContent>
                </v:textbox>
              </v:shape>
            </w:pict>
          </mc:Fallback>
        </mc:AlternateContent>
      </w:r>
    </w:p>
    <w:p w14:paraId="7CE49D67"/>
    <w:p w14:paraId="69776151"/>
    <w:p w14:paraId="23DD45A8"/>
    <w:p w14:paraId="7AC600B7">
      <w:pPr>
        <w:jc w:val="center"/>
        <w:rPr>
          <w:rFonts w:hint="eastAsia" w:asciiTheme="majorEastAsia" w:hAnsiTheme="majorEastAsia" w:eastAsiaTheme="majorEastAsia"/>
          <w:sz w:val="36"/>
          <w:szCs w:val="36"/>
        </w:rPr>
      </w:pPr>
      <w:r>
        <w:rPr>
          <w:rFonts w:hint="eastAsia" w:asciiTheme="majorEastAsia" w:hAnsiTheme="majorEastAsia" w:eastAsiaTheme="majorEastAsia"/>
          <w:sz w:val="36"/>
          <w:szCs w:val="36"/>
        </w:rPr>
        <w:t>关于学位论文原创性和使用授权的声明</w:t>
      </w:r>
    </w:p>
    <w:p w14:paraId="19165FA6"/>
    <w:p w14:paraId="0A601DD4">
      <w:pPr>
        <w:ind w:firstLine="560" w:firstLineChars="200"/>
        <w:rPr>
          <w:sz w:val="28"/>
          <w:szCs w:val="28"/>
        </w:rPr>
      </w:pPr>
      <w:r>
        <w:rPr>
          <w:rFonts w:hint="eastAsia"/>
          <w:sz w:val="28"/>
          <w:szCs w:val="28"/>
        </w:rPr>
        <w:t>本人所呈交的学位论文，是本人在导师指导下独立进行研究所取得的成果。对在论文研究期间给予指导、帮助和做出重要贡献的个人或集体，均在文中明确说明。本声明的法律责任由本人承担。</w:t>
      </w:r>
    </w:p>
    <w:p w14:paraId="2464FC2C">
      <w:pPr>
        <w:ind w:firstLine="560" w:firstLineChars="200"/>
        <w:rPr>
          <w:sz w:val="28"/>
          <w:szCs w:val="28"/>
        </w:rPr>
      </w:pPr>
      <w:r>
        <w:rPr>
          <w:rFonts w:hint="eastAsia"/>
          <w:sz w:val="28"/>
          <w:szCs w:val="28"/>
        </w:rPr>
        <w:t>本人完全了解山东农业大学有关保留和使用学位论文的规定，同意学校保留和按要求向国家有关部门或机构送交论文纸质本和电子版，允许论文被查阅和借阅。本人授权山东农业大学可以将本学位论文的全部或部分内容编入有关数据库进行检索，可以采用影印、缩印或其他复制手段保存论文和汇编本学位论文，同时授权中国科学技术信息研究所和中国学术期刊（光盘版）电子杂志社将本学位论文收录到相应的数据库中，并向社会公众提供信息服务。</w:t>
      </w:r>
    </w:p>
    <w:p w14:paraId="512AF9A0">
      <w:pPr>
        <w:ind w:firstLine="560" w:firstLineChars="200"/>
        <w:rPr>
          <w:sz w:val="28"/>
          <w:szCs w:val="28"/>
        </w:rPr>
      </w:pPr>
      <w:r>
        <w:rPr>
          <w:rFonts w:hint="eastAsia"/>
          <w:sz w:val="28"/>
          <w:szCs w:val="28"/>
        </w:rPr>
        <w:t>涉密论文在解密后应遵守此规定。</w:t>
      </w:r>
    </w:p>
    <w:p w14:paraId="78B76090"/>
    <w:tbl>
      <w:tblPr>
        <w:tblStyle w:val="30"/>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5"/>
        <w:gridCol w:w="2688"/>
      </w:tblGrid>
      <w:tr w14:paraId="29413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2E0074AB">
            <w:pPr>
              <w:spacing w:line="360" w:lineRule="exact"/>
              <w:jc w:val="right"/>
              <w:rPr>
                <w:sz w:val="28"/>
                <w:szCs w:val="28"/>
              </w:rPr>
            </w:pPr>
            <w:r>
              <w:rPr>
                <w:rFonts w:hint="eastAsia"/>
                <w:sz w:val="28"/>
                <w:szCs w:val="28"/>
              </w:rPr>
              <w:t>作者签名：</w:t>
            </w:r>
          </w:p>
        </w:tc>
        <w:tc>
          <w:tcPr>
            <w:tcW w:w="2688" w:type="dxa"/>
            <w:tcBorders>
              <w:bottom w:val="single" w:color="auto" w:sz="4" w:space="0"/>
            </w:tcBorders>
            <w:vAlign w:val="bottom"/>
          </w:tcPr>
          <w:p w14:paraId="62887D71">
            <w:pPr>
              <w:spacing w:line="360" w:lineRule="exact"/>
              <w:jc w:val="center"/>
              <w:rPr>
                <w:sz w:val="28"/>
                <w:szCs w:val="28"/>
              </w:rPr>
            </w:pPr>
          </w:p>
        </w:tc>
      </w:tr>
      <w:tr w14:paraId="167E2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44E1AC79">
            <w:pPr>
              <w:spacing w:line="360" w:lineRule="exact"/>
              <w:jc w:val="right"/>
              <w:rPr>
                <w:sz w:val="28"/>
                <w:szCs w:val="28"/>
              </w:rPr>
            </w:pPr>
            <w:r>
              <w:rPr>
                <w:rFonts w:hint="eastAsia"/>
                <w:sz w:val="28"/>
                <w:szCs w:val="28"/>
              </w:rPr>
              <w:t>导师签名：</w:t>
            </w:r>
          </w:p>
        </w:tc>
        <w:tc>
          <w:tcPr>
            <w:tcW w:w="2688" w:type="dxa"/>
            <w:tcBorders>
              <w:top w:val="single" w:color="auto" w:sz="4" w:space="0"/>
              <w:bottom w:val="single" w:color="auto" w:sz="4" w:space="0"/>
            </w:tcBorders>
            <w:vAlign w:val="bottom"/>
          </w:tcPr>
          <w:p w14:paraId="20A28968">
            <w:pPr>
              <w:spacing w:line="360" w:lineRule="exact"/>
              <w:jc w:val="center"/>
              <w:rPr>
                <w:sz w:val="28"/>
                <w:szCs w:val="28"/>
              </w:rPr>
            </w:pPr>
          </w:p>
        </w:tc>
      </w:tr>
      <w:tr w14:paraId="3850E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7FAD6C59">
            <w:pPr>
              <w:spacing w:line="360" w:lineRule="exact"/>
              <w:jc w:val="right"/>
              <w:rPr>
                <w:sz w:val="28"/>
                <w:szCs w:val="28"/>
              </w:rPr>
            </w:pPr>
            <w:r>
              <w:rPr>
                <w:rFonts w:hint="eastAsia"/>
                <w:sz w:val="28"/>
                <w:szCs w:val="28"/>
              </w:rPr>
              <w:t>日　　期：</w:t>
            </w:r>
          </w:p>
        </w:tc>
        <w:tc>
          <w:tcPr>
            <w:tcW w:w="2688" w:type="dxa"/>
            <w:tcBorders>
              <w:top w:val="single" w:color="auto" w:sz="4" w:space="0"/>
              <w:bottom w:val="single" w:color="auto" w:sz="4" w:space="0"/>
            </w:tcBorders>
            <w:vAlign w:val="bottom"/>
          </w:tcPr>
          <w:p w14:paraId="3B22923C">
            <w:pPr>
              <w:spacing w:line="360" w:lineRule="exact"/>
              <w:jc w:val="center"/>
              <w:rPr>
                <w:sz w:val="28"/>
                <w:szCs w:val="28"/>
              </w:rPr>
            </w:pPr>
          </w:p>
        </w:tc>
      </w:tr>
    </w:tbl>
    <w:p w14:paraId="1248F7C0"/>
    <w:p w14:paraId="1455495C"/>
    <w:p w14:paraId="706A02CF"/>
    <w:p w14:paraId="414031EC"/>
    <w:p w14:paraId="7CE5C75B"/>
    <w:p w14:paraId="02EE5707">
      <w:pPr>
        <w:pStyle w:val="6"/>
        <w:overflowPunct w:val="0"/>
        <w:snapToGrid w:val="0"/>
        <w:jc w:val="center"/>
        <w:rPr>
          <w:sz w:val="10"/>
          <w:szCs w:val="10"/>
          <w:lang w:val="en-GB"/>
        </w:rPr>
      </w:pPr>
    </w:p>
    <w:p w14:paraId="06FC0198">
      <w:pPr>
        <w:pStyle w:val="6"/>
        <w:overflowPunct w:val="0"/>
        <w:snapToGrid w:val="0"/>
        <w:ind w:firstLine="0"/>
        <w:jc w:val="center"/>
        <w:rPr>
          <w:rFonts w:ascii="黑体" w:eastAsia="黑体"/>
          <w:sz w:val="32"/>
          <w:szCs w:val="32"/>
        </w:rPr>
      </w:pPr>
      <w:commentRangeStart w:id="1"/>
      <w:r>
        <w:rPr>
          <w:rFonts w:hint="eastAsia" w:ascii="黑体" w:eastAsia="黑体"/>
          <w:sz w:val="32"/>
          <w:szCs w:val="32"/>
        </w:rPr>
        <w:t>目录</w:t>
      </w:r>
      <w:commentRangeEnd w:id="1"/>
      <w:r>
        <w:rPr>
          <w:rStyle w:val="33"/>
        </w:rPr>
        <w:commentReference w:id="1"/>
      </w:r>
      <w:commentRangeStart w:id="2"/>
      <w:r>
        <w:rPr>
          <w:b/>
          <w:sz w:val="24"/>
          <w:szCs w:val="24"/>
        </w:rPr>
        <w:fldChar w:fldCharType="begin" w:fldLock="1"/>
      </w:r>
      <w:r>
        <w:rPr>
          <w:b/>
          <w:sz w:val="24"/>
          <w:szCs w:val="24"/>
        </w:rPr>
        <w:instrText xml:space="preserve"> TOC \o "1-2" \h \z \u </w:instrText>
      </w:r>
      <w:r>
        <w:rPr>
          <w:b/>
          <w:sz w:val="24"/>
          <w:szCs w:val="24"/>
        </w:rPr>
        <w:fldChar w:fldCharType="separate"/>
      </w:r>
      <w:r>
        <w:rPr>
          <w:sz w:val="24"/>
          <w:szCs w:val="24"/>
        </w:rPr>
        <w:fldChar w:fldCharType="begin" w:fldLock="1"/>
      </w:r>
      <w:r>
        <w:rPr>
          <w:rStyle w:val="32"/>
          <w:sz w:val="24"/>
          <w:szCs w:val="24"/>
        </w:rPr>
        <w:instrText xml:space="preserve"> </w:instrText>
      </w:r>
      <w:r>
        <w:rPr>
          <w:sz w:val="24"/>
          <w:szCs w:val="24"/>
        </w:rPr>
        <w:instrText xml:space="preserve">HYPERLINK \l "_Toc481076016"</w:instrText>
      </w:r>
      <w:r>
        <w:rPr>
          <w:rStyle w:val="32"/>
          <w:sz w:val="24"/>
          <w:szCs w:val="24"/>
        </w:rPr>
        <w:instrText xml:space="preserve"> </w:instrText>
      </w:r>
      <w:r>
        <w:rPr>
          <w:sz w:val="24"/>
          <w:szCs w:val="24"/>
        </w:rPr>
        <w:fldChar w:fldCharType="separate"/>
      </w:r>
    </w:p>
    <w:p w14:paraId="015C2960">
      <w:pPr>
        <w:pStyle w:val="18"/>
        <w:tabs>
          <w:tab w:val="right" w:leader="dot" w:pos="9060"/>
        </w:tabs>
        <w:snapToGrid w:val="0"/>
        <w:spacing w:line="360" w:lineRule="auto"/>
        <w:rPr>
          <w:sz w:val="24"/>
          <w:szCs w:val="24"/>
        </w:rPr>
      </w:pPr>
      <w:r>
        <w:rPr>
          <w:b/>
          <w:sz w:val="24"/>
          <w:szCs w:val="24"/>
        </w:rPr>
        <w:fldChar w:fldCharType="begin" w:fldLock="1"/>
      </w:r>
      <w:r>
        <w:rPr>
          <w:b/>
          <w:sz w:val="24"/>
          <w:szCs w:val="24"/>
        </w:rPr>
        <w:instrText xml:space="preserve"> TOC \o "1-3" \h \z \u </w:instrText>
      </w:r>
      <w:r>
        <w:rPr>
          <w:b/>
          <w:sz w:val="24"/>
          <w:szCs w:val="24"/>
        </w:rPr>
        <w:fldChar w:fldCharType="separate"/>
      </w:r>
      <w:r>
        <w:fldChar w:fldCharType="begin"/>
      </w:r>
      <w:r>
        <w:instrText xml:space="preserve"> HYPERLINK \l "_Toc485030079" </w:instrText>
      </w:r>
      <w:r>
        <w:fldChar w:fldCharType="separate"/>
      </w:r>
      <w:r>
        <w:rPr>
          <w:rStyle w:val="32"/>
          <w:b/>
          <w:sz w:val="24"/>
          <w:szCs w:val="24"/>
        </w:rPr>
        <w:t>摘要</w:t>
      </w:r>
      <w:r>
        <w:rPr>
          <w:sz w:val="24"/>
          <w:szCs w:val="24"/>
        </w:rPr>
        <w:tab/>
      </w:r>
      <w:r>
        <w:rPr>
          <w:sz w:val="24"/>
          <w:szCs w:val="24"/>
        </w:rPr>
        <w:fldChar w:fldCharType="begin" w:fldLock="1"/>
      </w:r>
      <w:r>
        <w:rPr>
          <w:sz w:val="24"/>
          <w:szCs w:val="24"/>
        </w:rPr>
        <w:instrText xml:space="preserve"> PAGEREF _Toc485030079 \h </w:instrText>
      </w:r>
      <w:r>
        <w:rPr>
          <w:sz w:val="24"/>
          <w:szCs w:val="24"/>
        </w:rPr>
        <w:fldChar w:fldCharType="separate"/>
      </w:r>
      <w:r>
        <w:rPr>
          <w:sz w:val="24"/>
          <w:szCs w:val="24"/>
        </w:rPr>
        <w:t>I</w:t>
      </w:r>
      <w:r>
        <w:rPr>
          <w:sz w:val="24"/>
          <w:szCs w:val="24"/>
        </w:rPr>
        <w:fldChar w:fldCharType="end"/>
      </w:r>
      <w:r>
        <w:rPr>
          <w:sz w:val="24"/>
          <w:szCs w:val="24"/>
        </w:rPr>
        <w:fldChar w:fldCharType="end"/>
      </w:r>
    </w:p>
    <w:p w14:paraId="47AC0730">
      <w:pPr>
        <w:pStyle w:val="18"/>
        <w:tabs>
          <w:tab w:val="right" w:leader="dot" w:pos="9060"/>
        </w:tabs>
        <w:snapToGrid w:val="0"/>
        <w:spacing w:line="360" w:lineRule="auto"/>
        <w:rPr>
          <w:sz w:val="24"/>
          <w:szCs w:val="24"/>
        </w:rPr>
      </w:pPr>
      <w:r>
        <w:fldChar w:fldCharType="begin"/>
      </w:r>
      <w:r>
        <w:instrText xml:space="preserve"> HYPERLINK \l "_Toc485030080" </w:instrText>
      </w:r>
      <w:r>
        <w:fldChar w:fldCharType="separate"/>
      </w:r>
      <w:r>
        <w:rPr>
          <w:rStyle w:val="32"/>
          <w:b/>
          <w:sz w:val="24"/>
          <w:szCs w:val="24"/>
        </w:rPr>
        <w:t>Abstract</w:t>
      </w:r>
      <w:r>
        <w:rPr>
          <w:sz w:val="24"/>
          <w:szCs w:val="24"/>
        </w:rPr>
        <w:tab/>
      </w:r>
      <w:r>
        <w:rPr>
          <w:sz w:val="24"/>
          <w:szCs w:val="24"/>
        </w:rPr>
        <w:fldChar w:fldCharType="begin" w:fldLock="1"/>
      </w:r>
      <w:r>
        <w:rPr>
          <w:sz w:val="24"/>
          <w:szCs w:val="24"/>
        </w:rPr>
        <w:instrText xml:space="preserve"> PAGEREF _Toc485030080 \h </w:instrText>
      </w:r>
      <w:r>
        <w:rPr>
          <w:sz w:val="24"/>
          <w:szCs w:val="24"/>
        </w:rPr>
        <w:fldChar w:fldCharType="separate"/>
      </w:r>
      <w:r>
        <w:rPr>
          <w:sz w:val="24"/>
          <w:szCs w:val="24"/>
        </w:rPr>
        <w:t>III</w:t>
      </w:r>
      <w:r>
        <w:rPr>
          <w:sz w:val="24"/>
          <w:szCs w:val="24"/>
        </w:rPr>
        <w:fldChar w:fldCharType="end"/>
      </w:r>
      <w:r>
        <w:rPr>
          <w:sz w:val="24"/>
          <w:szCs w:val="24"/>
        </w:rPr>
        <w:fldChar w:fldCharType="end"/>
      </w:r>
    </w:p>
    <w:p w14:paraId="2D9CA8F0">
      <w:pPr>
        <w:pStyle w:val="18"/>
        <w:tabs>
          <w:tab w:val="right" w:leader="dot" w:pos="9060"/>
        </w:tabs>
        <w:snapToGrid w:val="0"/>
        <w:spacing w:line="360" w:lineRule="auto"/>
        <w:rPr>
          <w:sz w:val="24"/>
          <w:szCs w:val="24"/>
        </w:rPr>
      </w:pPr>
      <w:r>
        <w:fldChar w:fldCharType="begin"/>
      </w:r>
      <w:r>
        <w:instrText xml:space="preserve"> HYPERLINK \l "_Toc485030081" </w:instrText>
      </w:r>
      <w:r>
        <w:fldChar w:fldCharType="separate"/>
      </w:r>
      <w:r>
        <w:rPr>
          <w:rStyle w:val="32"/>
          <w:b/>
          <w:sz w:val="24"/>
          <w:szCs w:val="24"/>
        </w:rPr>
        <w:t>1</w:t>
      </w:r>
      <w:r>
        <w:rPr>
          <w:rStyle w:val="32"/>
          <w:rFonts w:hint="eastAsia"/>
          <w:b/>
          <w:sz w:val="24"/>
          <w:szCs w:val="24"/>
        </w:rPr>
        <w:t>引言</w:t>
      </w:r>
      <w:r>
        <w:rPr>
          <w:sz w:val="24"/>
          <w:szCs w:val="24"/>
        </w:rPr>
        <w:tab/>
      </w:r>
      <w:r>
        <w:rPr>
          <w:sz w:val="24"/>
          <w:szCs w:val="24"/>
        </w:rPr>
        <w:fldChar w:fldCharType="begin" w:fldLock="1"/>
      </w:r>
      <w:r>
        <w:rPr>
          <w:sz w:val="24"/>
          <w:szCs w:val="24"/>
        </w:rPr>
        <w:instrText xml:space="preserve"> PAGEREF _Toc485030081 \h </w:instrText>
      </w:r>
      <w:r>
        <w:rPr>
          <w:sz w:val="24"/>
          <w:szCs w:val="24"/>
        </w:rPr>
        <w:fldChar w:fldCharType="separate"/>
      </w:r>
      <w:r>
        <w:rPr>
          <w:sz w:val="24"/>
          <w:szCs w:val="24"/>
        </w:rPr>
        <w:t>1</w:t>
      </w:r>
      <w:r>
        <w:rPr>
          <w:sz w:val="24"/>
          <w:szCs w:val="24"/>
        </w:rPr>
        <w:fldChar w:fldCharType="end"/>
      </w:r>
      <w:r>
        <w:rPr>
          <w:sz w:val="24"/>
          <w:szCs w:val="24"/>
        </w:rPr>
        <w:fldChar w:fldCharType="end"/>
      </w:r>
      <w:bookmarkStart w:id="0" w:name="_Hlt495588916"/>
      <w:bookmarkEnd w:id="0"/>
    </w:p>
    <w:p w14:paraId="6E09BEB9">
      <w:pPr>
        <w:pStyle w:val="23"/>
        <w:tabs>
          <w:tab w:val="right" w:leader="dot" w:pos="9060"/>
        </w:tabs>
        <w:snapToGrid w:val="0"/>
        <w:spacing w:line="360" w:lineRule="auto"/>
        <w:rPr>
          <w:sz w:val="24"/>
          <w:szCs w:val="24"/>
        </w:rPr>
      </w:pPr>
      <w:r>
        <w:fldChar w:fldCharType="begin"/>
      </w:r>
      <w:r>
        <w:instrText xml:space="preserve"> HYPERLINK \l "_Toc485030082" </w:instrText>
      </w:r>
      <w:r>
        <w:fldChar w:fldCharType="separate"/>
      </w:r>
      <w:r>
        <w:rPr>
          <w:rStyle w:val="32"/>
          <w:sz w:val="24"/>
          <w:szCs w:val="24"/>
        </w:rPr>
        <w:t>1.1研究背景</w:t>
      </w:r>
      <w:r>
        <w:rPr>
          <w:sz w:val="24"/>
          <w:szCs w:val="24"/>
        </w:rPr>
        <w:tab/>
      </w:r>
      <w:r>
        <w:rPr>
          <w:sz w:val="24"/>
          <w:szCs w:val="24"/>
        </w:rPr>
        <w:fldChar w:fldCharType="begin" w:fldLock="1"/>
      </w:r>
      <w:r>
        <w:rPr>
          <w:sz w:val="24"/>
          <w:szCs w:val="24"/>
        </w:rPr>
        <w:instrText xml:space="preserve"> PAGEREF _Toc485030082 \h </w:instrText>
      </w:r>
      <w:r>
        <w:rPr>
          <w:sz w:val="24"/>
          <w:szCs w:val="24"/>
        </w:rPr>
        <w:fldChar w:fldCharType="separate"/>
      </w:r>
      <w:r>
        <w:rPr>
          <w:sz w:val="24"/>
          <w:szCs w:val="24"/>
        </w:rPr>
        <w:t>1</w:t>
      </w:r>
      <w:r>
        <w:rPr>
          <w:sz w:val="24"/>
          <w:szCs w:val="24"/>
        </w:rPr>
        <w:fldChar w:fldCharType="end"/>
      </w:r>
      <w:r>
        <w:rPr>
          <w:sz w:val="24"/>
          <w:szCs w:val="24"/>
        </w:rPr>
        <w:fldChar w:fldCharType="end"/>
      </w:r>
    </w:p>
    <w:p w14:paraId="06E6C09D">
      <w:pPr>
        <w:pStyle w:val="23"/>
        <w:tabs>
          <w:tab w:val="right" w:leader="dot" w:pos="9060"/>
        </w:tabs>
        <w:snapToGrid w:val="0"/>
        <w:spacing w:line="360" w:lineRule="auto"/>
        <w:rPr>
          <w:sz w:val="24"/>
          <w:szCs w:val="24"/>
        </w:rPr>
      </w:pPr>
      <w:bookmarkStart w:id="1" w:name="_Hlt495588907"/>
      <w:bookmarkEnd w:id="1"/>
      <w:bookmarkStart w:id="2" w:name="_Hlt495588906"/>
      <w:bookmarkEnd w:id="2"/>
      <w:r>
        <w:rPr>
          <w:sz w:val="24"/>
          <w:szCs w:val="24"/>
        </w:rPr>
        <w:fldChar w:fldCharType="begin" w:fldLock="1"/>
      </w:r>
      <w:r>
        <w:rPr>
          <w:rStyle w:val="32"/>
          <w:sz w:val="24"/>
          <w:szCs w:val="24"/>
        </w:rPr>
        <w:instrText xml:space="preserve"> </w:instrText>
      </w:r>
      <w:r>
        <w:rPr>
          <w:sz w:val="24"/>
          <w:szCs w:val="24"/>
        </w:rPr>
        <w:instrText xml:space="preserve">HYPERLINK \l "_Toc485030086"</w:instrText>
      </w:r>
      <w:r>
        <w:rPr>
          <w:rStyle w:val="32"/>
          <w:sz w:val="24"/>
          <w:szCs w:val="24"/>
        </w:rPr>
        <w:instrText xml:space="preserve"> </w:instrText>
      </w:r>
      <w:r>
        <w:rPr>
          <w:sz w:val="24"/>
          <w:szCs w:val="24"/>
        </w:rPr>
        <w:fldChar w:fldCharType="separate"/>
      </w:r>
      <w:r>
        <w:rPr>
          <w:rStyle w:val="32"/>
          <w:sz w:val="24"/>
          <w:szCs w:val="24"/>
        </w:rPr>
        <w:t>1.</w:t>
      </w:r>
      <w:r>
        <w:rPr>
          <w:rStyle w:val="32"/>
          <w:rFonts w:hint="eastAsia"/>
          <w:sz w:val="24"/>
          <w:szCs w:val="24"/>
        </w:rPr>
        <w:t>2</w:t>
      </w:r>
      <w:r>
        <w:rPr>
          <w:rStyle w:val="32"/>
          <w:sz w:val="24"/>
          <w:szCs w:val="24"/>
        </w:rPr>
        <w:t>研究</w:t>
      </w:r>
      <w:r>
        <w:rPr>
          <w:rStyle w:val="32"/>
          <w:rFonts w:hint="eastAsia"/>
          <w:sz w:val="24"/>
          <w:szCs w:val="24"/>
        </w:rPr>
        <w:t>目的与意义</w:t>
      </w:r>
      <w:r>
        <w:rPr>
          <w:sz w:val="24"/>
          <w:szCs w:val="24"/>
        </w:rPr>
        <w:tab/>
      </w:r>
      <w:r>
        <w:rPr>
          <w:sz w:val="24"/>
          <w:szCs w:val="24"/>
        </w:rPr>
        <w:fldChar w:fldCharType="begin" w:fldLock="1"/>
      </w:r>
      <w:r>
        <w:rPr>
          <w:sz w:val="24"/>
          <w:szCs w:val="24"/>
        </w:rPr>
        <w:instrText xml:space="preserve"> PAGEREF _Toc485030086 \h </w:instrText>
      </w:r>
      <w:r>
        <w:rPr>
          <w:sz w:val="24"/>
          <w:szCs w:val="24"/>
        </w:rPr>
        <w:fldChar w:fldCharType="separate"/>
      </w:r>
      <w:r>
        <w:rPr>
          <w:sz w:val="24"/>
          <w:szCs w:val="24"/>
        </w:rPr>
        <w:t>6</w:t>
      </w:r>
      <w:r>
        <w:rPr>
          <w:sz w:val="24"/>
          <w:szCs w:val="24"/>
        </w:rPr>
        <w:fldChar w:fldCharType="end"/>
      </w:r>
      <w:r>
        <w:rPr>
          <w:sz w:val="24"/>
          <w:szCs w:val="24"/>
        </w:rPr>
        <w:fldChar w:fldCharType="end"/>
      </w:r>
    </w:p>
    <w:p w14:paraId="5D77EED2">
      <w:pPr>
        <w:pStyle w:val="11"/>
        <w:tabs>
          <w:tab w:val="right" w:leader="dot" w:pos="9060"/>
        </w:tabs>
        <w:snapToGrid w:val="0"/>
        <w:spacing w:line="360" w:lineRule="auto"/>
        <w:rPr>
          <w:sz w:val="24"/>
          <w:szCs w:val="24"/>
        </w:rPr>
      </w:pPr>
      <w:r>
        <w:fldChar w:fldCharType="begin"/>
      </w:r>
      <w:r>
        <w:instrText xml:space="preserve"> HYPERLINK \l "_Toc485030087" </w:instrText>
      </w:r>
      <w:r>
        <w:fldChar w:fldCharType="separate"/>
      </w:r>
      <w:r>
        <w:rPr>
          <w:rStyle w:val="32"/>
          <w:sz w:val="24"/>
          <w:szCs w:val="24"/>
        </w:rPr>
        <w:t>1.</w:t>
      </w:r>
      <w:r>
        <w:rPr>
          <w:rStyle w:val="32"/>
          <w:rFonts w:hint="eastAsia"/>
          <w:sz w:val="24"/>
          <w:szCs w:val="24"/>
        </w:rPr>
        <w:t>2</w:t>
      </w:r>
      <w:r>
        <w:rPr>
          <w:rStyle w:val="32"/>
          <w:sz w:val="24"/>
          <w:szCs w:val="24"/>
        </w:rPr>
        <w:t>.1研究</w:t>
      </w:r>
      <w:r>
        <w:rPr>
          <w:rStyle w:val="32"/>
          <w:rFonts w:hint="eastAsia"/>
          <w:sz w:val="24"/>
          <w:szCs w:val="24"/>
        </w:rPr>
        <w:t>目的</w:t>
      </w:r>
      <w:r>
        <w:rPr>
          <w:sz w:val="24"/>
          <w:szCs w:val="24"/>
        </w:rPr>
        <w:tab/>
      </w:r>
      <w:r>
        <w:rPr>
          <w:sz w:val="24"/>
          <w:szCs w:val="24"/>
        </w:rPr>
        <w:fldChar w:fldCharType="begin" w:fldLock="1"/>
      </w:r>
      <w:r>
        <w:rPr>
          <w:sz w:val="24"/>
          <w:szCs w:val="24"/>
        </w:rPr>
        <w:instrText xml:space="preserve"> PAGEREF _Toc485030087 \h </w:instrText>
      </w:r>
      <w:r>
        <w:rPr>
          <w:sz w:val="24"/>
          <w:szCs w:val="24"/>
        </w:rPr>
        <w:fldChar w:fldCharType="separate"/>
      </w:r>
      <w:r>
        <w:rPr>
          <w:sz w:val="24"/>
          <w:szCs w:val="24"/>
        </w:rPr>
        <w:t>6</w:t>
      </w:r>
      <w:r>
        <w:rPr>
          <w:sz w:val="24"/>
          <w:szCs w:val="24"/>
        </w:rPr>
        <w:fldChar w:fldCharType="end"/>
      </w:r>
      <w:r>
        <w:rPr>
          <w:sz w:val="24"/>
          <w:szCs w:val="24"/>
        </w:rPr>
        <w:fldChar w:fldCharType="end"/>
      </w:r>
    </w:p>
    <w:p w14:paraId="5D11D96F">
      <w:pPr>
        <w:pStyle w:val="11"/>
        <w:tabs>
          <w:tab w:val="right" w:leader="dot" w:pos="9060"/>
        </w:tabs>
        <w:snapToGrid w:val="0"/>
        <w:spacing w:line="360" w:lineRule="auto"/>
        <w:rPr>
          <w:sz w:val="24"/>
          <w:szCs w:val="24"/>
        </w:rPr>
      </w:pPr>
      <w:r>
        <w:fldChar w:fldCharType="begin"/>
      </w:r>
      <w:r>
        <w:instrText xml:space="preserve"> HYPERLINK \l "_Toc485030088" </w:instrText>
      </w:r>
      <w:r>
        <w:fldChar w:fldCharType="separate"/>
      </w:r>
      <w:r>
        <w:rPr>
          <w:rStyle w:val="32"/>
          <w:sz w:val="24"/>
          <w:szCs w:val="24"/>
        </w:rPr>
        <w:t>1.</w:t>
      </w:r>
      <w:r>
        <w:rPr>
          <w:rStyle w:val="32"/>
          <w:rFonts w:hint="eastAsia"/>
          <w:sz w:val="24"/>
          <w:szCs w:val="24"/>
        </w:rPr>
        <w:t>2</w:t>
      </w:r>
      <w:r>
        <w:rPr>
          <w:rStyle w:val="32"/>
          <w:sz w:val="24"/>
          <w:szCs w:val="24"/>
        </w:rPr>
        <w:t>.2研究</w:t>
      </w:r>
      <w:r>
        <w:rPr>
          <w:rStyle w:val="32"/>
          <w:rFonts w:hint="eastAsia"/>
          <w:sz w:val="24"/>
          <w:szCs w:val="24"/>
        </w:rPr>
        <w:t>意义</w:t>
      </w:r>
      <w:r>
        <w:rPr>
          <w:sz w:val="24"/>
          <w:szCs w:val="24"/>
        </w:rPr>
        <w:tab/>
      </w:r>
      <w:r>
        <w:rPr>
          <w:sz w:val="24"/>
          <w:szCs w:val="24"/>
        </w:rPr>
        <w:fldChar w:fldCharType="begin" w:fldLock="1"/>
      </w:r>
      <w:r>
        <w:rPr>
          <w:sz w:val="24"/>
          <w:szCs w:val="24"/>
        </w:rPr>
        <w:instrText xml:space="preserve"> PAGEREF _Toc485030088 \h </w:instrText>
      </w:r>
      <w:r>
        <w:rPr>
          <w:sz w:val="24"/>
          <w:szCs w:val="24"/>
        </w:rPr>
        <w:fldChar w:fldCharType="separate"/>
      </w:r>
      <w:r>
        <w:rPr>
          <w:sz w:val="24"/>
          <w:szCs w:val="24"/>
        </w:rPr>
        <w:t>6</w:t>
      </w:r>
      <w:r>
        <w:rPr>
          <w:sz w:val="24"/>
          <w:szCs w:val="24"/>
        </w:rPr>
        <w:fldChar w:fldCharType="end"/>
      </w:r>
      <w:r>
        <w:rPr>
          <w:sz w:val="24"/>
          <w:szCs w:val="24"/>
        </w:rPr>
        <w:fldChar w:fldCharType="end"/>
      </w:r>
    </w:p>
    <w:p w14:paraId="10CF6DCA">
      <w:pPr>
        <w:pStyle w:val="23"/>
        <w:tabs>
          <w:tab w:val="right" w:leader="dot" w:pos="9060"/>
        </w:tabs>
        <w:snapToGrid w:val="0"/>
        <w:spacing w:line="360" w:lineRule="auto"/>
        <w:rPr>
          <w:color w:val="FF0000"/>
          <w:sz w:val="24"/>
          <w:szCs w:val="24"/>
        </w:rPr>
      </w:pPr>
      <w:r>
        <w:fldChar w:fldCharType="begin"/>
      </w:r>
      <w:r>
        <w:instrText xml:space="preserve"> HYPERLINK \l "_Toc485030089" </w:instrText>
      </w:r>
      <w:r>
        <w:fldChar w:fldCharType="separate"/>
      </w:r>
      <w:r>
        <w:rPr>
          <w:rStyle w:val="32"/>
          <w:color w:val="FF0000"/>
          <w:sz w:val="24"/>
          <w:szCs w:val="24"/>
        </w:rPr>
        <w:t>1.</w:t>
      </w:r>
      <w:r>
        <w:rPr>
          <w:rStyle w:val="32"/>
          <w:rFonts w:hint="eastAsia"/>
          <w:color w:val="FF0000"/>
          <w:sz w:val="24"/>
          <w:szCs w:val="24"/>
        </w:rPr>
        <w:t>3国内外研究现状及述评（根据研究主要内容分主题写 还要加1</w:t>
      </w:r>
      <w:r>
        <w:rPr>
          <w:rStyle w:val="32"/>
          <w:color w:val="FF0000"/>
          <w:sz w:val="24"/>
          <w:szCs w:val="24"/>
        </w:rPr>
        <w:t xml:space="preserve">.3.3 </w:t>
      </w:r>
      <w:r>
        <w:rPr>
          <w:rStyle w:val="32"/>
          <w:rFonts w:hint="eastAsia"/>
          <w:color w:val="FF0000"/>
          <w:sz w:val="24"/>
          <w:szCs w:val="24"/>
        </w:rPr>
        <w:t>研究述评）</w:t>
      </w:r>
      <w:r>
        <w:rPr>
          <w:color w:val="FF0000"/>
          <w:sz w:val="24"/>
          <w:szCs w:val="24"/>
        </w:rPr>
        <w:fldChar w:fldCharType="begin" w:fldLock="1"/>
      </w:r>
      <w:r>
        <w:rPr>
          <w:color w:val="FF0000"/>
          <w:sz w:val="24"/>
          <w:szCs w:val="24"/>
        </w:rPr>
        <w:instrText xml:space="preserve"> PAGEREF _Toc485030089 \h </w:instrText>
      </w:r>
      <w:r>
        <w:rPr>
          <w:color w:val="FF0000"/>
          <w:sz w:val="24"/>
          <w:szCs w:val="24"/>
        </w:rPr>
        <w:fldChar w:fldCharType="separate"/>
      </w:r>
      <w:r>
        <w:rPr>
          <w:color w:val="FF0000"/>
          <w:sz w:val="24"/>
          <w:szCs w:val="24"/>
        </w:rPr>
        <w:t>8</w:t>
      </w:r>
      <w:r>
        <w:rPr>
          <w:color w:val="FF0000"/>
          <w:sz w:val="24"/>
          <w:szCs w:val="24"/>
        </w:rPr>
        <w:fldChar w:fldCharType="end"/>
      </w:r>
      <w:r>
        <w:rPr>
          <w:color w:val="FF0000"/>
          <w:sz w:val="24"/>
          <w:szCs w:val="24"/>
        </w:rPr>
        <w:fldChar w:fldCharType="end"/>
      </w:r>
    </w:p>
    <w:p w14:paraId="00B39888">
      <w:pPr>
        <w:pStyle w:val="11"/>
        <w:tabs>
          <w:tab w:val="right" w:leader="dot" w:pos="9060"/>
        </w:tabs>
        <w:snapToGrid w:val="0"/>
        <w:spacing w:line="360" w:lineRule="auto"/>
        <w:jc w:val="right"/>
        <w:rPr>
          <w:color w:val="FF0000"/>
          <w:sz w:val="24"/>
          <w:szCs w:val="24"/>
        </w:rPr>
      </w:pPr>
      <w:r>
        <w:fldChar w:fldCharType="begin"/>
      </w:r>
      <w:r>
        <w:instrText xml:space="preserve"> HYPERLINK \l "_Toc485030093" </w:instrText>
      </w:r>
      <w:r>
        <w:fldChar w:fldCharType="separate"/>
      </w:r>
      <w:r>
        <w:rPr>
          <w:rStyle w:val="32"/>
          <w:color w:val="FF0000"/>
          <w:sz w:val="24"/>
          <w:szCs w:val="24"/>
        </w:rPr>
        <w:t>1.</w:t>
      </w:r>
      <w:r>
        <w:rPr>
          <w:rStyle w:val="32"/>
          <w:rFonts w:hint="eastAsia"/>
          <w:color w:val="FF0000"/>
          <w:sz w:val="24"/>
          <w:szCs w:val="24"/>
        </w:rPr>
        <w:t>3</w:t>
      </w:r>
      <w:r>
        <w:rPr>
          <w:rStyle w:val="32"/>
          <w:color w:val="FF0000"/>
          <w:sz w:val="24"/>
          <w:szCs w:val="24"/>
        </w:rPr>
        <w:t>.1</w:t>
      </w:r>
      <w:r>
        <w:rPr>
          <w:color w:val="FF0000"/>
          <w:sz w:val="24"/>
          <w:szCs w:val="24"/>
        </w:rPr>
        <w:tab/>
      </w:r>
      <w:r>
        <w:rPr>
          <w:color w:val="FF0000"/>
          <w:sz w:val="24"/>
          <w:szCs w:val="24"/>
        </w:rPr>
        <w:fldChar w:fldCharType="begin" w:fldLock="1"/>
      </w:r>
      <w:r>
        <w:rPr>
          <w:color w:val="FF0000"/>
          <w:sz w:val="24"/>
          <w:szCs w:val="24"/>
        </w:rPr>
        <w:instrText xml:space="preserve"> PAGEREF _Toc485030093 \h </w:instrText>
      </w:r>
      <w:r>
        <w:rPr>
          <w:color w:val="FF0000"/>
          <w:sz w:val="24"/>
          <w:szCs w:val="24"/>
        </w:rPr>
        <w:fldChar w:fldCharType="separate"/>
      </w:r>
      <w:r>
        <w:rPr>
          <w:color w:val="FF0000"/>
          <w:sz w:val="24"/>
          <w:szCs w:val="24"/>
        </w:rPr>
        <w:t>11</w:t>
      </w:r>
      <w:r>
        <w:rPr>
          <w:color w:val="FF0000"/>
          <w:sz w:val="24"/>
          <w:szCs w:val="24"/>
        </w:rPr>
        <w:fldChar w:fldCharType="end"/>
      </w:r>
      <w:r>
        <w:rPr>
          <w:color w:val="FF0000"/>
          <w:sz w:val="24"/>
          <w:szCs w:val="24"/>
        </w:rPr>
        <w:fldChar w:fldCharType="end"/>
      </w:r>
    </w:p>
    <w:p w14:paraId="04EF4B16">
      <w:pPr>
        <w:pStyle w:val="23"/>
        <w:tabs>
          <w:tab w:val="right" w:leader="dot" w:pos="9060"/>
        </w:tabs>
        <w:snapToGrid w:val="0"/>
        <w:spacing w:line="360" w:lineRule="auto"/>
        <w:ind w:firstLine="420" w:firstLineChars="200"/>
        <w:rPr>
          <w:color w:val="FF0000"/>
          <w:sz w:val="24"/>
          <w:szCs w:val="24"/>
        </w:rPr>
      </w:pPr>
      <w:r>
        <w:fldChar w:fldCharType="begin"/>
      </w:r>
      <w:r>
        <w:instrText xml:space="preserve"> HYPERLINK \l "_Toc485030094" </w:instrText>
      </w:r>
      <w:r>
        <w:fldChar w:fldCharType="separate"/>
      </w:r>
      <w:r>
        <w:rPr>
          <w:rStyle w:val="32"/>
          <w:color w:val="FF0000"/>
          <w:sz w:val="24"/>
          <w:szCs w:val="24"/>
        </w:rPr>
        <w:t>1.3.2</w:t>
      </w:r>
      <w:r>
        <w:rPr>
          <w:color w:val="FF0000"/>
          <w:sz w:val="24"/>
          <w:szCs w:val="24"/>
        </w:rPr>
        <w:tab/>
      </w:r>
      <w:r>
        <w:rPr>
          <w:color w:val="FF0000"/>
          <w:sz w:val="24"/>
          <w:szCs w:val="24"/>
        </w:rPr>
        <w:fldChar w:fldCharType="begin" w:fldLock="1"/>
      </w:r>
      <w:r>
        <w:rPr>
          <w:color w:val="FF0000"/>
          <w:sz w:val="24"/>
          <w:szCs w:val="24"/>
        </w:rPr>
        <w:instrText xml:space="preserve"> PAGEREF _Toc485030094 \h </w:instrText>
      </w:r>
      <w:r>
        <w:rPr>
          <w:color w:val="FF0000"/>
          <w:sz w:val="24"/>
          <w:szCs w:val="24"/>
        </w:rPr>
        <w:fldChar w:fldCharType="separate"/>
      </w:r>
      <w:r>
        <w:rPr>
          <w:color w:val="FF0000"/>
          <w:sz w:val="24"/>
          <w:szCs w:val="24"/>
        </w:rPr>
        <w:t>12</w:t>
      </w:r>
      <w:r>
        <w:rPr>
          <w:color w:val="FF0000"/>
          <w:sz w:val="24"/>
          <w:szCs w:val="24"/>
        </w:rPr>
        <w:fldChar w:fldCharType="end"/>
      </w:r>
      <w:r>
        <w:rPr>
          <w:color w:val="FF0000"/>
          <w:sz w:val="24"/>
          <w:szCs w:val="24"/>
        </w:rPr>
        <w:fldChar w:fldCharType="end"/>
      </w:r>
    </w:p>
    <w:p w14:paraId="06A5601B">
      <w:pPr>
        <w:rPr>
          <w:rFonts w:hint="default" w:eastAsia="宋体"/>
          <w:lang w:val="en-US" w:eastAsia="zh-CN"/>
        </w:rPr>
      </w:pPr>
      <w:r>
        <w:rPr>
          <w:rFonts w:hint="eastAsia"/>
          <w:color w:val="FF0000"/>
          <w:sz w:val="24"/>
          <w:szCs w:val="24"/>
          <w:lang w:val="en-US" w:eastAsia="zh-CN"/>
        </w:rPr>
        <w:t xml:space="preserve">       1.3.3                                                                </w:t>
      </w:r>
    </w:p>
    <w:p w14:paraId="32F55867">
      <w:pPr>
        <w:rPr>
          <w:rFonts w:hint="default" w:eastAsia="宋体"/>
          <w:lang w:val="en-US" w:eastAsia="zh-CN"/>
        </w:rPr>
      </w:pPr>
      <w:r>
        <w:rPr>
          <w:rFonts w:hint="eastAsia"/>
          <w:color w:val="FF0000"/>
          <w:sz w:val="24"/>
          <w:szCs w:val="24"/>
          <w:lang w:val="en-US" w:eastAsia="zh-CN"/>
        </w:rPr>
        <w:t xml:space="preserve">       1.3.3 研究述评                                                       </w:t>
      </w:r>
    </w:p>
    <w:p w14:paraId="3EA45F59">
      <w:pPr>
        <w:pStyle w:val="11"/>
        <w:tabs>
          <w:tab w:val="right" w:leader="dot" w:pos="9060"/>
        </w:tabs>
        <w:snapToGrid w:val="0"/>
        <w:spacing w:line="360" w:lineRule="auto"/>
        <w:ind w:left="0" w:leftChars="0" w:firstLine="420" w:firstLineChars="200"/>
        <w:rPr>
          <w:sz w:val="24"/>
          <w:szCs w:val="24"/>
        </w:rPr>
      </w:pPr>
      <w:r>
        <w:fldChar w:fldCharType="begin"/>
      </w:r>
      <w:r>
        <w:instrText xml:space="preserve"> HYPERLINK \l "_Toc485030092" </w:instrText>
      </w:r>
      <w:r>
        <w:fldChar w:fldCharType="separate"/>
      </w:r>
      <w:r>
        <w:rPr>
          <w:rStyle w:val="32"/>
          <w:sz w:val="24"/>
          <w:szCs w:val="24"/>
        </w:rPr>
        <w:t>1.4</w:t>
      </w:r>
      <w:r>
        <w:rPr>
          <w:rStyle w:val="32"/>
          <w:rFonts w:hint="eastAsia"/>
          <w:sz w:val="24"/>
          <w:szCs w:val="24"/>
        </w:rPr>
        <w:t>研究内容</w:t>
      </w:r>
      <w:r>
        <w:rPr>
          <w:rStyle w:val="32"/>
          <w:rFonts w:hint="eastAsia"/>
          <w:sz w:val="24"/>
          <w:szCs w:val="24"/>
        </w:rPr>
        <w:fldChar w:fldCharType="end"/>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p>
    <w:p w14:paraId="37F746A2">
      <w:pPr>
        <w:pStyle w:val="11"/>
        <w:tabs>
          <w:tab w:val="right" w:leader="dot" w:pos="9060"/>
        </w:tabs>
        <w:snapToGrid w:val="0"/>
        <w:spacing w:line="360" w:lineRule="auto"/>
        <w:ind w:left="0" w:leftChars="0" w:firstLine="420" w:firstLineChars="200"/>
        <w:rPr>
          <w:sz w:val="24"/>
          <w:szCs w:val="24"/>
        </w:rPr>
      </w:pPr>
      <w:r>
        <w:fldChar w:fldCharType="begin"/>
      </w:r>
      <w:r>
        <w:instrText xml:space="preserve"> HYPERLINK \l "_Toc485030092" </w:instrText>
      </w:r>
      <w:r>
        <w:fldChar w:fldCharType="separate"/>
      </w:r>
      <w:r>
        <w:rPr>
          <w:rStyle w:val="32"/>
          <w:sz w:val="24"/>
          <w:szCs w:val="24"/>
        </w:rPr>
        <w:t>1.5</w:t>
      </w:r>
      <w:r>
        <w:rPr>
          <w:rStyle w:val="32"/>
          <w:rFonts w:hint="eastAsia"/>
          <w:sz w:val="24"/>
          <w:szCs w:val="24"/>
        </w:rPr>
        <w:t>研究方法与技术路线</w:t>
      </w:r>
      <w:r>
        <w:rPr>
          <w:rStyle w:val="32"/>
          <w:rFonts w:hint="eastAsia"/>
          <w:sz w:val="24"/>
          <w:szCs w:val="24"/>
        </w:rPr>
        <w:fldChar w:fldCharType="end"/>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p>
    <w:p w14:paraId="42EA9FB1">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1.5.1</w:t>
      </w:r>
      <w:r>
        <w:rPr>
          <w:rStyle w:val="32"/>
          <w:rFonts w:hint="eastAsia"/>
          <w:sz w:val="24"/>
          <w:szCs w:val="24"/>
        </w:rPr>
        <w:t>研究方法</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2624ADC8">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1.5.2</w:t>
      </w:r>
      <w:r>
        <w:rPr>
          <w:rStyle w:val="32"/>
          <w:rFonts w:hint="eastAsia"/>
          <w:sz w:val="24"/>
          <w:szCs w:val="24"/>
        </w:rPr>
        <w:t>技术路线</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bookmarkStart w:id="3" w:name="_Hlt501369492"/>
      <w:bookmarkEnd w:id="3"/>
      <w:bookmarkStart w:id="4" w:name="_Hlt501369491"/>
      <w:bookmarkEnd w:id="4"/>
    </w:p>
    <w:p w14:paraId="682B9191">
      <w:pPr>
        <w:pStyle w:val="23"/>
        <w:tabs>
          <w:tab w:val="right" w:leader="dot" w:pos="9060"/>
        </w:tabs>
        <w:snapToGrid w:val="0"/>
        <w:spacing w:line="360" w:lineRule="auto"/>
        <w:rPr>
          <w:sz w:val="24"/>
          <w:szCs w:val="24"/>
        </w:rPr>
      </w:pPr>
      <w:r>
        <w:fldChar w:fldCharType="begin"/>
      </w:r>
      <w:r>
        <w:instrText xml:space="preserve"> HYPERLINK \l "_Toc485030092" </w:instrText>
      </w:r>
      <w:r>
        <w:fldChar w:fldCharType="separate"/>
      </w:r>
      <w:r>
        <w:rPr>
          <w:rStyle w:val="32"/>
          <w:sz w:val="24"/>
          <w:szCs w:val="24"/>
        </w:rPr>
        <w:t>1.</w:t>
      </w:r>
      <w:r>
        <w:rPr>
          <w:rStyle w:val="32"/>
          <w:rFonts w:hint="eastAsia"/>
          <w:sz w:val="24"/>
          <w:szCs w:val="24"/>
        </w:rPr>
        <w:t>6</w:t>
      </w:r>
      <w:r>
        <w:rPr>
          <w:rStyle w:val="32"/>
          <w:sz w:val="24"/>
          <w:szCs w:val="24"/>
        </w:rPr>
        <w:t>创新</w:t>
      </w:r>
      <w:r>
        <w:rPr>
          <w:rStyle w:val="32"/>
          <w:rFonts w:hint="eastAsia"/>
          <w:sz w:val="24"/>
          <w:szCs w:val="24"/>
        </w:rPr>
        <w:t>与</w:t>
      </w:r>
      <w:r>
        <w:rPr>
          <w:rStyle w:val="32"/>
          <w:sz w:val="24"/>
          <w:szCs w:val="24"/>
        </w:rPr>
        <w:t>不足之处</w:t>
      </w:r>
      <w:r>
        <w:rPr>
          <w:sz w:val="24"/>
          <w:szCs w:val="24"/>
        </w:rPr>
        <w:tab/>
      </w:r>
      <w:r>
        <w:rPr>
          <w:sz w:val="24"/>
          <w:szCs w:val="24"/>
        </w:rPr>
        <w:fldChar w:fldCharType="begin" w:fldLock="1"/>
      </w:r>
      <w:r>
        <w:rPr>
          <w:sz w:val="24"/>
          <w:szCs w:val="24"/>
        </w:rPr>
        <w:instrText xml:space="preserve"> PAGEREF _Toc485030092 \h </w:instrText>
      </w:r>
      <w:r>
        <w:rPr>
          <w:sz w:val="24"/>
          <w:szCs w:val="24"/>
        </w:rPr>
        <w:fldChar w:fldCharType="separate"/>
      </w:r>
      <w:r>
        <w:rPr>
          <w:sz w:val="24"/>
          <w:szCs w:val="24"/>
        </w:rPr>
        <w:t>11</w:t>
      </w:r>
      <w:r>
        <w:rPr>
          <w:sz w:val="24"/>
          <w:szCs w:val="24"/>
        </w:rPr>
        <w:fldChar w:fldCharType="end"/>
      </w:r>
      <w:r>
        <w:rPr>
          <w:sz w:val="24"/>
          <w:szCs w:val="24"/>
        </w:rPr>
        <w:fldChar w:fldCharType="end"/>
      </w:r>
    </w:p>
    <w:p w14:paraId="6A7C658E">
      <w:pPr>
        <w:pStyle w:val="11"/>
        <w:tabs>
          <w:tab w:val="right" w:leader="dot" w:pos="9060"/>
        </w:tabs>
        <w:snapToGrid w:val="0"/>
        <w:spacing w:line="360" w:lineRule="auto"/>
        <w:rPr>
          <w:sz w:val="24"/>
          <w:szCs w:val="24"/>
        </w:rPr>
      </w:pPr>
      <w:r>
        <w:fldChar w:fldCharType="begin"/>
      </w:r>
      <w:r>
        <w:instrText xml:space="preserve"> HYPERLINK \l "_Toc485030093" </w:instrText>
      </w:r>
      <w:r>
        <w:fldChar w:fldCharType="separate"/>
      </w:r>
      <w:r>
        <w:rPr>
          <w:rStyle w:val="32"/>
          <w:sz w:val="24"/>
          <w:szCs w:val="24"/>
        </w:rPr>
        <w:t>1.</w:t>
      </w:r>
      <w:r>
        <w:rPr>
          <w:rStyle w:val="32"/>
          <w:rFonts w:hint="eastAsia"/>
          <w:sz w:val="24"/>
          <w:szCs w:val="24"/>
        </w:rPr>
        <w:t>6</w:t>
      </w:r>
      <w:r>
        <w:rPr>
          <w:rStyle w:val="32"/>
          <w:sz w:val="24"/>
          <w:szCs w:val="24"/>
        </w:rPr>
        <w:t>.1创新</w:t>
      </w:r>
      <w:r>
        <w:rPr>
          <w:rStyle w:val="32"/>
          <w:rFonts w:hint="eastAsia"/>
          <w:sz w:val="24"/>
          <w:szCs w:val="24"/>
        </w:rPr>
        <w:t>之处</w:t>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150D86B">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w:t>
      </w:r>
      <w:r>
        <w:rPr>
          <w:rStyle w:val="32"/>
          <w:rFonts w:hint="eastAsia"/>
          <w:sz w:val="24"/>
          <w:szCs w:val="24"/>
        </w:rPr>
        <w:t>6</w:t>
      </w:r>
      <w:r>
        <w:rPr>
          <w:rStyle w:val="32"/>
          <w:sz w:val="24"/>
          <w:szCs w:val="24"/>
        </w:rPr>
        <w:t>.2不足之处</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558B66EC">
      <w:pPr>
        <w:pStyle w:val="18"/>
        <w:tabs>
          <w:tab w:val="right" w:leader="dot" w:pos="9060"/>
        </w:tabs>
        <w:snapToGrid w:val="0"/>
        <w:spacing w:line="360" w:lineRule="auto"/>
        <w:rPr>
          <w:sz w:val="24"/>
          <w:szCs w:val="24"/>
        </w:rPr>
      </w:pPr>
      <w:r>
        <w:fldChar w:fldCharType="begin"/>
      </w:r>
      <w:r>
        <w:instrText xml:space="preserve"> HYPERLINK \l "_Toc485030104" </w:instrText>
      </w:r>
      <w:r>
        <w:fldChar w:fldCharType="separate"/>
      </w:r>
      <w:r>
        <w:rPr>
          <w:rStyle w:val="32"/>
          <w:rFonts w:hint="eastAsia"/>
          <w:b/>
          <w:sz w:val="24"/>
          <w:szCs w:val="24"/>
        </w:rPr>
        <w:t>2</w:t>
      </w:r>
      <w:r>
        <w:rPr>
          <w:rStyle w:val="32"/>
          <w:rFonts w:hint="eastAsia"/>
          <w:b/>
          <w:sz w:val="24"/>
          <w:szCs w:val="24"/>
          <w:lang w:val="en-US" w:eastAsia="zh-CN"/>
        </w:rPr>
        <w:t xml:space="preserve"> 概念界定与理论基础</w:t>
      </w:r>
      <w:r>
        <w:rPr>
          <w:sz w:val="24"/>
          <w:szCs w:val="24"/>
        </w:rPr>
        <w:tab/>
      </w:r>
      <w:r>
        <w:rPr>
          <w:sz w:val="24"/>
          <w:szCs w:val="24"/>
        </w:rPr>
        <w:fldChar w:fldCharType="begin" w:fldLock="1"/>
      </w:r>
      <w:r>
        <w:rPr>
          <w:sz w:val="24"/>
          <w:szCs w:val="24"/>
        </w:rPr>
        <w:instrText xml:space="preserve"> PAGEREF _Toc485030104 \h </w:instrText>
      </w:r>
      <w:r>
        <w:rPr>
          <w:sz w:val="24"/>
          <w:szCs w:val="24"/>
        </w:rPr>
        <w:fldChar w:fldCharType="separate"/>
      </w:r>
      <w:r>
        <w:rPr>
          <w:sz w:val="24"/>
          <w:szCs w:val="24"/>
        </w:rPr>
        <w:t>31</w:t>
      </w:r>
      <w:r>
        <w:rPr>
          <w:sz w:val="24"/>
          <w:szCs w:val="24"/>
        </w:rPr>
        <w:fldChar w:fldCharType="end"/>
      </w:r>
      <w:r>
        <w:rPr>
          <w:sz w:val="24"/>
          <w:szCs w:val="24"/>
        </w:rPr>
        <w:fldChar w:fldCharType="end"/>
      </w:r>
    </w:p>
    <w:p w14:paraId="4D248D81">
      <w:pPr>
        <w:rPr>
          <w:rFonts w:hint="default"/>
          <w:sz w:val="24"/>
          <w:szCs w:val="24"/>
          <w:lang w:val="en-US" w:eastAsia="zh-CN"/>
        </w:rPr>
      </w:pPr>
      <w:r>
        <w:rPr>
          <w:rFonts w:hint="eastAsia"/>
          <w:sz w:val="24"/>
          <w:szCs w:val="24"/>
          <w:lang w:val="en-US" w:eastAsia="zh-CN"/>
        </w:rPr>
        <w:t xml:space="preserve">   2.1相关概念界定                                                         </w:t>
      </w:r>
    </w:p>
    <w:p w14:paraId="11185047">
      <w:pPr>
        <w:rPr>
          <w:rFonts w:hint="default" w:eastAsia="宋体"/>
          <w:sz w:val="24"/>
          <w:szCs w:val="24"/>
          <w:lang w:val="en-US" w:eastAsia="zh-CN"/>
        </w:rPr>
      </w:pPr>
      <w:r>
        <w:rPr>
          <w:rFonts w:hint="eastAsia"/>
          <w:sz w:val="24"/>
          <w:szCs w:val="24"/>
          <w:lang w:val="en-US" w:eastAsia="zh-CN"/>
        </w:rPr>
        <w:t xml:space="preserve">       2.1.1                                                             </w:t>
      </w:r>
      <w:r>
        <w:rPr>
          <w:sz w:val="24"/>
          <w:szCs w:val="24"/>
        </w:rPr>
        <w:tab/>
      </w:r>
      <w:r>
        <w:rPr>
          <w:rFonts w:hint="eastAsia"/>
          <w:sz w:val="24"/>
          <w:szCs w:val="24"/>
          <w:lang w:val="en-US" w:eastAsia="zh-CN"/>
        </w:rPr>
        <w:t xml:space="preserve">  </w:t>
      </w:r>
    </w:p>
    <w:p w14:paraId="26D175C9">
      <w:pPr>
        <w:rPr>
          <w:rFonts w:hint="default"/>
          <w:sz w:val="24"/>
          <w:szCs w:val="24"/>
          <w:lang w:val="en-US" w:eastAsia="zh-CN"/>
        </w:rPr>
      </w:pPr>
      <w:r>
        <w:rPr>
          <w:rFonts w:hint="eastAsia"/>
          <w:sz w:val="24"/>
          <w:szCs w:val="24"/>
          <w:lang w:val="en-US" w:eastAsia="zh-CN"/>
        </w:rPr>
        <w:t xml:space="preserve">       2.1.2                                                               </w:t>
      </w:r>
    </w:p>
    <w:p w14:paraId="01695793">
      <w:pPr>
        <w:rPr>
          <w:rFonts w:hint="default"/>
          <w:sz w:val="24"/>
          <w:szCs w:val="24"/>
          <w:lang w:val="en-US" w:eastAsia="zh-CN"/>
        </w:rPr>
      </w:pPr>
      <w:r>
        <w:rPr>
          <w:rFonts w:hint="eastAsia"/>
          <w:sz w:val="24"/>
          <w:szCs w:val="24"/>
          <w:lang w:val="en-US" w:eastAsia="zh-CN"/>
        </w:rPr>
        <w:t xml:space="preserve">       2.1.3                                                               </w:t>
      </w:r>
    </w:p>
    <w:p w14:paraId="6E887956">
      <w:pPr>
        <w:rPr>
          <w:rFonts w:hint="eastAsia"/>
          <w:sz w:val="24"/>
          <w:szCs w:val="24"/>
          <w:lang w:val="en-US" w:eastAsia="zh-CN"/>
        </w:rPr>
      </w:pPr>
      <w:r>
        <w:rPr>
          <w:rFonts w:hint="eastAsia"/>
          <w:sz w:val="24"/>
          <w:szCs w:val="24"/>
          <w:lang w:val="en-US" w:eastAsia="zh-CN"/>
        </w:rPr>
        <w:t xml:space="preserve">   2.2 理论基础</w:t>
      </w:r>
    </w:p>
    <w:p w14:paraId="4EC4A6B2">
      <w:pPr>
        <w:rPr>
          <w:rFonts w:hint="default"/>
          <w:sz w:val="24"/>
          <w:szCs w:val="24"/>
          <w:lang w:val="en-US" w:eastAsia="zh-CN"/>
        </w:rPr>
      </w:pPr>
      <w:r>
        <w:rPr>
          <w:rFonts w:hint="eastAsia"/>
          <w:sz w:val="24"/>
          <w:szCs w:val="24"/>
          <w:lang w:val="en-US" w:eastAsia="zh-CN"/>
        </w:rPr>
        <w:t xml:space="preserve">       2.2.1                                                                </w:t>
      </w:r>
    </w:p>
    <w:p w14:paraId="162E95F2">
      <w:pPr>
        <w:rPr>
          <w:rFonts w:hint="default"/>
          <w:sz w:val="24"/>
          <w:szCs w:val="24"/>
          <w:lang w:val="en-US" w:eastAsia="zh-CN"/>
        </w:rPr>
      </w:pPr>
      <w:r>
        <w:rPr>
          <w:rFonts w:hint="eastAsia"/>
          <w:sz w:val="24"/>
          <w:szCs w:val="24"/>
          <w:lang w:val="en-US" w:eastAsia="zh-CN"/>
        </w:rPr>
        <w:t xml:space="preserve">       2.2.2                                                                  </w:t>
      </w:r>
    </w:p>
    <w:p w14:paraId="74BA22F5">
      <w:pPr>
        <w:rPr>
          <w:rFonts w:hint="default"/>
          <w:sz w:val="24"/>
          <w:szCs w:val="24"/>
          <w:lang w:val="en-US" w:eastAsia="zh-CN"/>
        </w:rPr>
      </w:pPr>
      <w:r>
        <w:rPr>
          <w:rFonts w:hint="eastAsia"/>
          <w:sz w:val="24"/>
          <w:szCs w:val="24"/>
          <w:lang w:val="en-US" w:eastAsia="zh-CN"/>
        </w:rPr>
        <w:t xml:space="preserve">       2.2.3                                                              </w:t>
      </w:r>
    </w:p>
    <w:p w14:paraId="1BAB1124">
      <w:pPr>
        <w:rPr>
          <w:rFonts w:hint="default"/>
          <w:sz w:val="24"/>
          <w:szCs w:val="24"/>
          <w:lang w:val="en-US" w:eastAsia="zh-CN"/>
        </w:rPr>
      </w:pPr>
      <w:r>
        <w:rPr>
          <w:rFonts w:hint="eastAsia"/>
          <w:sz w:val="24"/>
          <w:szCs w:val="24"/>
          <w:lang w:val="en-US" w:eastAsia="zh-CN"/>
        </w:rPr>
        <w:t xml:space="preserve">   2.3 本研究的理论分析框架</w:t>
      </w:r>
    </w:p>
    <w:p w14:paraId="5FF854B5">
      <w:pPr>
        <w:pStyle w:val="18"/>
        <w:tabs>
          <w:tab w:val="right" w:leader="dot" w:pos="9060"/>
        </w:tabs>
        <w:snapToGrid w:val="0"/>
        <w:spacing w:line="360" w:lineRule="auto"/>
        <w:rPr>
          <w:sz w:val="24"/>
          <w:szCs w:val="24"/>
        </w:rPr>
      </w:pPr>
      <w:r>
        <w:fldChar w:fldCharType="begin"/>
      </w:r>
      <w:r>
        <w:instrText xml:space="preserve"> HYPERLINK \l "_Toc485030116" </w:instrText>
      </w:r>
      <w:r>
        <w:fldChar w:fldCharType="separate"/>
      </w:r>
      <w:r>
        <w:rPr>
          <w:rStyle w:val="32"/>
          <w:rFonts w:hint="eastAsia"/>
          <w:b/>
          <w:sz w:val="24"/>
          <w:szCs w:val="24"/>
        </w:rPr>
        <w:t>3研究</w:t>
      </w:r>
      <w:r>
        <w:rPr>
          <w:sz w:val="24"/>
          <w:szCs w:val="24"/>
        </w:rPr>
        <w:tab/>
      </w:r>
      <w:r>
        <w:rPr>
          <w:sz w:val="24"/>
          <w:szCs w:val="24"/>
        </w:rPr>
        <w:fldChar w:fldCharType="begin" w:fldLock="1"/>
      </w:r>
      <w:r>
        <w:rPr>
          <w:sz w:val="24"/>
          <w:szCs w:val="24"/>
        </w:rPr>
        <w:instrText xml:space="preserve"> PAGEREF _Toc485030116 \h </w:instrText>
      </w:r>
      <w:r>
        <w:rPr>
          <w:sz w:val="24"/>
          <w:szCs w:val="24"/>
        </w:rPr>
        <w:fldChar w:fldCharType="separate"/>
      </w:r>
      <w:r>
        <w:rPr>
          <w:sz w:val="24"/>
          <w:szCs w:val="24"/>
        </w:rPr>
        <w:t>44</w:t>
      </w:r>
      <w:r>
        <w:rPr>
          <w:sz w:val="24"/>
          <w:szCs w:val="24"/>
        </w:rPr>
        <w:fldChar w:fldCharType="end"/>
      </w:r>
      <w:r>
        <w:rPr>
          <w:sz w:val="24"/>
          <w:szCs w:val="24"/>
        </w:rPr>
        <w:fldChar w:fldCharType="end"/>
      </w:r>
    </w:p>
    <w:p w14:paraId="54D68FF3">
      <w:pPr>
        <w:pStyle w:val="18"/>
        <w:tabs>
          <w:tab w:val="right" w:leader="dot" w:pos="9060"/>
        </w:tabs>
        <w:snapToGrid w:val="0"/>
        <w:spacing w:line="360" w:lineRule="auto"/>
        <w:rPr>
          <w:sz w:val="24"/>
          <w:szCs w:val="24"/>
        </w:rPr>
      </w:pPr>
      <w:r>
        <w:fldChar w:fldCharType="begin"/>
      </w:r>
      <w:r>
        <w:instrText xml:space="preserve"> HYPERLINK \l "_Toc485030125" </w:instrText>
      </w:r>
      <w:r>
        <w:fldChar w:fldCharType="separate"/>
      </w:r>
      <w:r>
        <w:rPr>
          <w:rStyle w:val="32"/>
          <w:rFonts w:hint="eastAsia"/>
          <w:b/>
          <w:sz w:val="24"/>
          <w:szCs w:val="24"/>
        </w:rPr>
        <w:t>4研究</w:t>
      </w:r>
      <w:r>
        <w:rPr>
          <w:sz w:val="24"/>
          <w:szCs w:val="24"/>
        </w:rPr>
        <w:tab/>
      </w:r>
      <w:r>
        <w:rPr>
          <w:sz w:val="24"/>
          <w:szCs w:val="24"/>
        </w:rPr>
        <w:fldChar w:fldCharType="begin" w:fldLock="1"/>
      </w:r>
      <w:r>
        <w:rPr>
          <w:sz w:val="24"/>
          <w:szCs w:val="24"/>
        </w:rPr>
        <w:instrText xml:space="preserve"> PAGEREF _Toc485030125 \h </w:instrText>
      </w:r>
      <w:r>
        <w:rPr>
          <w:sz w:val="24"/>
          <w:szCs w:val="24"/>
        </w:rPr>
        <w:fldChar w:fldCharType="separate"/>
      </w:r>
      <w:r>
        <w:rPr>
          <w:sz w:val="24"/>
          <w:szCs w:val="24"/>
        </w:rPr>
        <w:t>52</w:t>
      </w:r>
      <w:r>
        <w:rPr>
          <w:sz w:val="24"/>
          <w:szCs w:val="24"/>
        </w:rPr>
        <w:fldChar w:fldCharType="end"/>
      </w:r>
      <w:r>
        <w:rPr>
          <w:sz w:val="24"/>
          <w:szCs w:val="24"/>
        </w:rPr>
        <w:fldChar w:fldCharType="end"/>
      </w:r>
    </w:p>
    <w:p w14:paraId="465D4235">
      <w:pPr>
        <w:pStyle w:val="18"/>
        <w:tabs>
          <w:tab w:val="right" w:leader="dot" w:pos="9060"/>
        </w:tabs>
        <w:snapToGrid w:val="0"/>
        <w:spacing w:line="360" w:lineRule="auto"/>
        <w:rPr>
          <w:sz w:val="24"/>
          <w:szCs w:val="24"/>
        </w:rPr>
      </w:pPr>
      <w:r>
        <w:fldChar w:fldCharType="begin"/>
      </w:r>
      <w:r>
        <w:instrText xml:space="preserve"> HYPERLINK \l "_Toc485030135" </w:instrText>
      </w:r>
      <w:r>
        <w:fldChar w:fldCharType="separate"/>
      </w:r>
      <w:r>
        <w:rPr>
          <w:rStyle w:val="32"/>
          <w:rFonts w:hint="eastAsia"/>
          <w:b/>
          <w:sz w:val="24"/>
          <w:szCs w:val="24"/>
        </w:rPr>
        <w:t>5研究</w:t>
      </w:r>
      <w:r>
        <w:rPr>
          <w:sz w:val="24"/>
          <w:szCs w:val="24"/>
        </w:rPr>
        <w:tab/>
      </w:r>
      <w:r>
        <w:rPr>
          <w:sz w:val="24"/>
          <w:szCs w:val="24"/>
        </w:rPr>
        <w:fldChar w:fldCharType="begin" w:fldLock="1"/>
      </w:r>
      <w:r>
        <w:rPr>
          <w:sz w:val="24"/>
          <w:szCs w:val="24"/>
        </w:rPr>
        <w:instrText xml:space="preserve"> PAGEREF _Toc485030135 \h </w:instrText>
      </w:r>
      <w:r>
        <w:rPr>
          <w:sz w:val="24"/>
          <w:szCs w:val="24"/>
        </w:rPr>
        <w:fldChar w:fldCharType="separate"/>
      </w:r>
      <w:r>
        <w:rPr>
          <w:sz w:val="24"/>
          <w:szCs w:val="24"/>
        </w:rPr>
        <w:t>67</w:t>
      </w:r>
      <w:r>
        <w:rPr>
          <w:sz w:val="24"/>
          <w:szCs w:val="24"/>
        </w:rPr>
        <w:fldChar w:fldCharType="end"/>
      </w:r>
      <w:r>
        <w:rPr>
          <w:sz w:val="24"/>
          <w:szCs w:val="24"/>
        </w:rPr>
        <w:fldChar w:fldCharType="end"/>
      </w:r>
    </w:p>
    <w:p w14:paraId="02C1B86F">
      <w:pPr>
        <w:pStyle w:val="18"/>
        <w:tabs>
          <w:tab w:val="right" w:leader="dot" w:pos="9060"/>
        </w:tabs>
        <w:snapToGrid w:val="0"/>
        <w:spacing w:line="360" w:lineRule="auto"/>
        <w:rPr>
          <w:sz w:val="24"/>
          <w:szCs w:val="24"/>
        </w:rPr>
      </w:pPr>
      <w:r>
        <w:fldChar w:fldCharType="begin"/>
      </w:r>
      <w:r>
        <w:instrText xml:space="preserve"> HYPERLINK \l "_Toc485030152" </w:instrText>
      </w:r>
      <w:r>
        <w:fldChar w:fldCharType="separate"/>
      </w:r>
      <w:r>
        <w:rPr>
          <w:rStyle w:val="32"/>
          <w:rFonts w:hint="eastAsia"/>
          <w:b/>
          <w:sz w:val="24"/>
          <w:szCs w:val="24"/>
        </w:rPr>
        <w:t>6研究</w:t>
      </w:r>
      <w:r>
        <w:rPr>
          <w:sz w:val="24"/>
          <w:szCs w:val="24"/>
        </w:rPr>
        <w:tab/>
      </w:r>
      <w:r>
        <w:rPr>
          <w:sz w:val="24"/>
          <w:szCs w:val="24"/>
        </w:rPr>
        <w:fldChar w:fldCharType="begin" w:fldLock="1"/>
      </w:r>
      <w:r>
        <w:rPr>
          <w:sz w:val="24"/>
          <w:szCs w:val="24"/>
        </w:rPr>
        <w:instrText xml:space="preserve"> PAGEREF _Toc485030152 \h </w:instrText>
      </w:r>
      <w:r>
        <w:rPr>
          <w:sz w:val="24"/>
          <w:szCs w:val="24"/>
        </w:rPr>
        <w:fldChar w:fldCharType="separate"/>
      </w:r>
      <w:r>
        <w:rPr>
          <w:sz w:val="24"/>
          <w:szCs w:val="24"/>
        </w:rPr>
        <w:t>81</w:t>
      </w:r>
      <w:r>
        <w:rPr>
          <w:sz w:val="24"/>
          <w:szCs w:val="24"/>
        </w:rPr>
        <w:fldChar w:fldCharType="end"/>
      </w:r>
      <w:r>
        <w:rPr>
          <w:sz w:val="24"/>
          <w:szCs w:val="24"/>
        </w:rPr>
        <w:fldChar w:fldCharType="end"/>
      </w:r>
    </w:p>
    <w:p w14:paraId="2B57F9CE">
      <w:pPr>
        <w:pStyle w:val="18"/>
        <w:tabs>
          <w:tab w:val="right" w:leader="dot" w:pos="9060"/>
        </w:tabs>
        <w:snapToGrid w:val="0"/>
        <w:spacing w:line="360" w:lineRule="auto"/>
        <w:rPr>
          <w:sz w:val="24"/>
          <w:szCs w:val="24"/>
        </w:rPr>
      </w:pPr>
      <w:r>
        <w:fldChar w:fldCharType="begin"/>
      </w:r>
      <w:r>
        <w:instrText xml:space="preserve"> HYPERLINK \l "_Toc485030193" </w:instrText>
      </w:r>
      <w:r>
        <w:fldChar w:fldCharType="separate"/>
      </w:r>
      <w:r>
        <w:rPr>
          <w:rStyle w:val="32"/>
          <w:b/>
          <w:sz w:val="24"/>
          <w:szCs w:val="24"/>
        </w:rPr>
        <w:t>参考文献</w:t>
      </w:r>
      <w:r>
        <w:rPr>
          <w:sz w:val="24"/>
          <w:szCs w:val="24"/>
        </w:rPr>
        <w:tab/>
      </w:r>
      <w:r>
        <w:rPr>
          <w:sz w:val="24"/>
          <w:szCs w:val="24"/>
        </w:rPr>
        <w:fldChar w:fldCharType="begin" w:fldLock="1"/>
      </w:r>
      <w:r>
        <w:rPr>
          <w:sz w:val="24"/>
          <w:szCs w:val="24"/>
        </w:rPr>
        <w:instrText xml:space="preserve"> PAGEREF _Toc485030193 \h </w:instrText>
      </w:r>
      <w:r>
        <w:rPr>
          <w:sz w:val="24"/>
          <w:szCs w:val="24"/>
        </w:rPr>
        <w:fldChar w:fldCharType="separate"/>
      </w:r>
      <w:r>
        <w:rPr>
          <w:sz w:val="24"/>
          <w:szCs w:val="24"/>
        </w:rPr>
        <w:t>119</w:t>
      </w:r>
      <w:r>
        <w:rPr>
          <w:sz w:val="24"/>
          <w:szCs w:val="24"/>
        </w:rPr>
        <w:fldChar w:fldCharType="end"/>
      </w:r>
      <w:r>
        <w:rPr>
          <w:sz w:val="24"/>
          <w:szCs w:val="24"/>
        </w:rPr>
        <w:fldChar w:fldCharType="end"/>
      </w:r>
    </w:p>
    <w:p w14:paraId="69172A3A">
      <w:pPr>
        <w:pStyle w:val="18"/>
        <w:tabs>
          <w:tab w:val="right" w:leader="dot" w:pos="9060"/>
        </w:tabs>
        <w:snapToGrid w:val="0"/>
        <w:spacing w:line="360" w:lineRule="auto"/>
        <w:rPr>
          <w:sz w:val="24"/>
          <w:szCs w:val="24"/>
        </w:rPr>
      </w:pPr>
      <w:r>
        <w:fldChar w:fldCharType="begin"/>
      </w:r>
      <w:r>
        <w:instrText xml:space="preserve"> HYPERLINK \l "_Toc485030194" </w:instrText>
      </w:r>
      <w:r>
        <w:fldChar w:fldCharType="separate"/>
      </w:r>
      <w:r>
        <w:rPr>
          <w:rStyle w:val="32"/>
          <w:rFonts w:hint="eastAsia"/>
          <w:b/>
          <w:sz w:val="24"/>
          <w:szCs w:val="24"/>
        </w:rPr>
        <w:t>附录</w:t>
      </w:r>
      <w:r>
        <w:rPr>
          <w:sz w:val="24"/>
          <w:szCs w:val="24"/>
        </w:rPr>
        <w:tab/>
      </w:r>
      <w:r>
        <w:rPr>
          <w:sz w:val="24"/>
          <w:szCs w:val="24"/>
        </w:rPr>
        <w:fldChar w:fldCharType="begin" w:fldLock="1"/>
      </w:r>
      <w:r>
        <w:rPr>
          <w:sz w:val="24"/>
          <w:szCs w:val="24"/>
        </w:rPr>
        <w:instrText xml:space="preserve"> PAGEREF _Toc485030194 \h </w:instrText>
      </w:r>
      <w:r>
        <w:rPr>
          <w:sz w:val="24"/>
          <w:szCs w:val="24"/>
        </w:rPr>
        <w:fldChar w:fldCharType="separate"/>
      </w:r>
      <w:r>
        <w:rPr>
          <w:sz w:val="24"/>
          <w:szCs w:val="24"/>
        </w:rPr>
        <w:t>131</w:t>
      </w:r>
      <w:r>
        <w:rPr>
          <w:sz w:val="24"/>
          <w:szCs w:val="24"/>
        </w:rPr>
        <w:fldChar w:fldCharType="end"/>
      </w:r>
      <w:r>
        <w:rPr>
          <w:sz w:val="24"/>
          <w:szCs w:val="24"/>
        </w:rPr>
        <w:fldChar w:fldCharType="end"/>
      </w:r>
    </w:p>
    <w:p w14:paraId="38BBDD78">
      <w:pPr>
        <w:pStyle w:val="18"/>
        <w:tabs>
          <w:tab w:val="right" w:leader="dot" w:pos="9060"/>
        </w:tabs>
        <w:snapToGrid w:val="0"/>
        <w:spacing w:line="360" w:lineRule="auto"/>
        <w:rPr>
          <w:sz w:val="24"/>
          <w:szCs w:val="24"/>
        </w:rPr>
      </w:pPr>
      <w:r>
        <w:fldChar w:fldCharType="begin"/>
      </w:r>
      <w:r>
        <w:instrText xml:space="preserve"> HYPERLINK \l "_Toc485030194" </w:instrText>
      </w:r>
      <w:r>
        <w:fldChar w:fldCharType="separate"/>
      </w:r>
      <w:r>
        <w:rPr>
          <w:rStyle w:val="32"/>
          <w:b/>
          <w:sz w:val="24"/>
          <w:szCs w:val="24"/>
        </w:rPr>
        <w:t>致谢</w:t>
      </w:r>
      <w:r>
        <w:rPr>
          <w:sz w:val="24"/>
          <w:szCs w:val="24"/>
        </w:rPr>
        <w:tab/>
      </w:r>
      <w:r>
        <w:rPr>
          <w:sz w:val="24"/>
          <w:szCs w:val="24"/>
        </w:rPr>
        <w:fldChar w:fldCharType="begin" w:fldLock="1"/>
      </w:r>
      <w:r>
        <w:rPr>
          <w:sz w:val="24"/>
          <w:szCs w:val="24"/>
        </w:rPr>
        <w:instrText xml:space="preserve"> PAGEREF _Toc485030194 \h </w:instrText>
      </w:r>
      <w:r>
        <w:rPr>
          <w:sz w:val="24"/>
          <w:szCs w:val="24"/>
        </w:rPr>
        <w:fldChar w:fldCharType="separate"/>
      </w:r>
      <w:r>
        <w:rPr>
          <w:sz w:val="24"/>
          <w:szCs w:val="24"/>
        </w:rPr>
        <w:t>131</w:t>
      </w:r>
      <w:r>
        <w:rPr>
          <w:sz w:val="24"/>
          <w:szCs w:val="24"/>
        </w:rPr>
        <w:fldChar w:fldCharType="end"/>
      </w:r>
      <w:r>
        <w:rPr>
          <w:sz w:val="24"/>
          <w:szCs w:val="24"/>
        </w:rPr>
        <w:fldChar w:fldCharType="end"/>
      </w:r>
    </w:p>
    <w:p w14:paraId="1A2C1BBD">
      <w:pPr>
        <w:pStyle w:val="18"/>
        <w:tabs>
          <w:tab w:val="right" w:leader="dot" w:pos="9060"/>
        </w:tabs>
        <w:snapToGrid w:val="0"/>
        <w:spacing w:line="360" w:lineRule="auto"/>
        <w:rPr>
          <w:b/>
          <w:sz w:val="24"/>
          <w:szCs w:val="24"/>
        </w:rPr>
      </w:pPr>
      <w:r>
        <w:fldChar w:fldCharType="begin"/>
      </w:r>
      <w:r>
        <w:instrText xml:space="preserve"> HYPERLINK \l "_Toc485030195" </w:instrText>
      </w:r>
      <w:r>
        <w:fldChar w:fldCharType="separate"/>
      </w:r>
      <w:r>
        <w:rPr>
          <w:rStyle w:val="32"/>
          <w:b/>
          <w:sz w:val="24"/>
          <w:szCs w:val="24"/>
        </w:rPr>
        <w:t>攻读</w:t>
      </w:r>
      <w:r>
        <w:rPr>
          <w:rStyle w:val="32"/>
          <w:rFonts w:hint="eastAsia"/>
          <w:b/>
          <w:sz w:val="24"/>
          <w:szCs w:val="24"/>
        </w:rPr>
        <w:t>硕士</w:t>
      </w:r>
      <w:r>
        <w:rPr>
          <w:rStyle w:val="32"/>
          <w:b/>
          <w:sz w:val="24"/>
          <w:szCs w:val="24"/>
        </w:rPr>
        <w:t>学位期间取得的学术成果</w:t>
      </w:r>
      <w:r>
        <w:rPr>
          <w:sz w:val="24"/>
          <w:szCs w:val="24"/>
        </w:rPr>
        <w:tab/>
      </w:r>
      <w:r>
        <w:rPr>
          <w:sz w:val="24"/>
          <w:szCs w:val="24"/>
        </w:rPr>
        <w:fldChar w:fldCharType="begin" w:fldLock="1"/>
      </w:r>
      <w:r>
        <w:rPr>
          <w:sz w:val="24"/>
          <w:szCs w:val="24"/>
        </w:rPr>
        <w:instrText xml:space="preserve"> PAGEREF _Toc485030195 \h </w:instrText>
      </w:r>
      <w:r>
        <w:rPr>
          <w:sz w:val="24"/>
          <w:szCs w:val="24"/>
        </w:rPr>
        <w:fldChar w:fldCharType="separate"/>
      </w:r>
      <w:r>
        <w:rPr>
          <w:sz w:val="24"/>
          <w:szCs w:val="24"/>
        </w:rPr>
        <w:t>133</w:t>
      </w:r>
      <w:r>
        <w:rPr>
          <w:sz w:val="24"/>
          <w:szCs w:val="24"/>
        </w:rPr>
        <w:fldChar w:fldCharType="end"/>
      </w:r>
      <w:r>
        <w:rPr>
          <w:sz w:val="24"/>
          <w:szCs w:val="24"/>
        </w:rPr>
        <w:fldChar w:fldCharType="end"/>
      </w:r>
      <w:r>
        <w:rPr>
          <w:b/>
          <w:sz w:val="24"/>
          <w:szCs w:val="24"/>
        </w:rPr>
        <w:fldChar w:fldCharType="end"/>
      </w:r>
      <w:r>
        <w:rPr>
          <w:sz w:val="24"/>
          <w:szCs w:val="24"/>
        </w:rPr>
        <w:fldChar w:fldCharType="end"/>
      </w:r>
      <w:r>
        <w:rPr>
          <w:b/>
          <w:sz w:val="24"/>
          <w:szCs w:val="24"/>
        </w:rPr>
        <w:fldChar w:fldCharType="end"/>
      </w:r>
      <w:commentRangeEnd w:id="2"/>
      <w:r>
        <w:rPr>
          <w:rStyle w:val="33"/>
        </w:rPr>
        <w:commentReference w:id="2"/>
      </w:r>
    </w:p>
    <w:p w14:paraId="52DA80F6"/>
    <w:p w14:paraId="23924478">
      <w:pPr>
        <w:adjustRightInd w:val="0"/>
        <w:snapToGrid w:val="0"/>
        <w:spacing w:line="360" w:lineRule="auto"/>
        <w:jc w:val="center"/>
        <w:rPr>
          <w:b/>
          <w:sz w:val="24"/>
          <w:szCs w:val="24"/>
        </w:rPr>
      </w:pPr>
    </w:p>
    <w:p w14:paraId="76178EFD">
      <w:pPr>
        <w:adjustRightInd w:val="0"/>
        <w:snapToGrid w:val="0"/>
        <w:spacing w:line="360" w:lineRule="auto"/>
        <w:jc w:val="center"/>
        <w:rPr>
          <w:rFonts w:hint="eastAsia" w:ascii="黑体" w:hAnsi="黑体" w:eastAsia="黑体"/>
          <w:b/>
          <w:color w:val="000000"/>
          <w:sz w:val="32"/>
          <w:szCs w:val="32"/>
        </w:rPr>
      </w:pPr>
    </w:p>
    <w:p w14:paraId="2864E0DA">
      <w:pPr>
        <w:adjustRightInd w:val="0"/>
        <w:snapToGrid w:val="0"/>
        <w:spacing w:line="360" w:lineRule="auto"/>
        <w:jc w:val="center"/>
        <w:rPr>
          <w:rFonts w:hint="eastAsia" w:ascii="黑体" w:hAnsi="黑体" w:eastAsia="黑体"/>
          <w:b/>
          <w:color w:val="000000"/>
          <w:sz w:val="32"/>
          <w:szCs w:val="32"/>
        </w:rPr>
      </w:pPr>
    </w:p>
    <w:p w14:paraId="458A7E27">
      <w:pPr>
        <w:adjustRightInd w:val="0"/>
        <w:snapToGrid w:val="0"/>
        <w:spacing w:line="360" w:lineRule="auto"/>
        <w:jc w:val="center"/>
        <w:rPr>
          <w:rFonts w:hint="eastAsia" w:ascii="黑体" w:hAnsi="黑体" w:eastAsia="黑体"/>
          <w:b/>
          <w:color w:val="000000"/>
          <w:sz w:val="32"/>
          <w:szCs w:val="32"/>
        </w:rPr>
      </w:pPr>
    </w:p>
    <w:p w14:paraId="40F09B8B">
      <w:pPr>
        <w:adjustRightInd w:val="0"/>
        <w:snapToGrid w:val="0"/>
        <w:spacing w:line="360" w:lineRule="auto"/>
        <w:jc w:val="center"/>
        <w:rPr>
          <w:rFonts w:hint="eastAsia" w:ascii="黑体" w:hAnsi="黑体" w:eastAsia="黑体"/>
          <w:b/>
          <w:color w:val="000000"/>
          <w:sz w:val="32"/>
          <w:szCs w:val="32"/>
        </w:rPr>
      </w:pPr>
    </w:p>
    <w:p w14:paraId="31E3B30D">
      <w:pPr>
        <w:adjustRightInd w:val="0"/>
        <w:snapToGrid w:val="0"/>
        <w:spacing w:line="360" w:lineRule="auto"/>
        <w:jc w:val="center"/>
        <w:rPr>
          <w:rFonts w:hint="eastAsia" w:ascii="黑体" w:hAnsi="黑体" w:eastAsia="黑体"/>
          <w:b/>
          <w:color w:val="000000"/>
          <w:sz w:val="32"/>
          <w:szCs w:val="32"/>
        </w:rPr>
      </w:pPr>
    </w:p>
    <w:p w14:paraId="4B9DB4BA">
      <w:pPr>
        <w:adjustRightInd w:val="0"/>
        <w:snapToGrid w:val="0"/>
        <w:spacing w:line="360" w:lineRule="auto"/>
        <w:jc w:val="center"/>
        <w:rPr>
          <w:rFonts w:hint="eastAsia" w:ascii="黑体" w:hAnsi="黑体" w:eastAsia="黑体"/>
          <w:b/>
          <w:color w:val="000000"/>
          <w:sz w:val="32"/>
          <w:szCs w:val="32"/>
        </w:rPr>
      </w:pPr>
    </w:p>
    <w:p w14:paraId="07CB7C9B">
      <w:pPr>
        <w:adjustRightInd w:val="0"/>
        <w:snapToGrid w:val="0"/>
        <w:spacing w:line="360" w:lineRule="auto"/>
        <w:jc w:val="center"/>
        <w:rPr>
          <w:rFonts w:hint="eastAsia" w:ascii="黑体" w:hAnsi="黑体" w:eastAsia="黑体"/>
          <w:b/>
          <w:color w:val="000000"/>
          <w:sz w:val="32"/>
          <w:szCs w:val="32"/>
        </w:rPr>
      </w:pPr>
    </w:p>
    <w:p w14:paraId="7434B5D7">
      <w:pPr>
        <w:adjustRightInd w:val="0"/>
        <w:snapToGrid w:val="0"/>
        <w:spacing w:line="360" w:lineRule="auto"/>
        <w:jc w:val="center"/>
        <w:rPr>
          <w:rFonts w:hint="eastAsia" w:ascii="黑体" w:hAnsi="黑体" w:eastAsia="黑体"/>
          <w:b/>
          <w:color w:val="000000"/>
          <w:sz w:val="32"/>
          <w:szCs w:val="32"/>
        </w:rPr>
      </w:pPr>
    </w:p>
    <w:p w14:paraId="79343FB9">
      <w:pPr>
        <w:adjustRightInd w:val="0"/>
        <w:snapToGrid w:val="0"/>
        <w:spacing w:line="360" w:lineRule="auto"/>
        <w:jc w:val="center"/>
        <w:rPr>
          <w:rFonts w:hint="eastAsia" w:ascii="黑体" w:hAnsi="黑体" w:eastAsia="黑体"/>
          <w:b/>
          <w:color w:val="000000"/>
          <w:sz w:val="32"/>
          <w:szCs w:val="32"/>
        </w:rPr>
      </w:pPr>
    </w:p>
    <w:p w14:paraId="345F0FC3">
      <w:pPr>
        <w:adjustRightInd w:val="0"/>
        <w:snapToGrid w:val="0"/>
        <w:spacing w:line="360" w:lineRule="auto"/>
        <w:jc w:val="center"/>
        <w:rPr>
          <w:rFonts w:hint="eastAsia" w:ascii="黑体" w:hAnsi="黑体" w:eastAsia="黑体"/>
          <w:b/>
          <w:color w:val="000000"/>
          <w:sz w:val="32"/>
          <w:szCs w:val="32"/>
        </w:rPr>
      </w:pPr>
    </w:p>
    <w:p w14:paraId="16E1382F">
      <w:pPr>
        <w:adjustRightInd w:val="0"/>
        <w:snapToGrid w:val="0"/>
        <w:spacing w:line="360" w:lineRule="auto"/>
        <w:jc w:val="center"/>
        <w:rPr>
          <w:rFonts w:hint="eastAsia" w:ascii="黑体" w:hAnsi="黑体" w:eastAsia="黑体"/>
          <w:b/>
          <w:color w:val="000000"/>
          <w:sz w:val="32"/>
          <w:szCs w:val="32"/>
        </w:rPr>
      </w:pPr>
    </w:p>
    <w:p w14:paraId="6379485C">
      <w:pPr>
        <w:adjustRightInd w:val="0"/>
        <w:snapToGrid w:val="0"/>
        <w:spacing w:line="360" w:lineRule="auto"/>
        <w:jc w:val="center"/>
        <w:rPr>
          <w:rFonts w:hint="eastAsia" w:ascii="黑体" w:hAnsi="黑体" w:eastAsia="黑体"/>
          <w:b/>
          <w:color w:val="000000"/>
          <w:sz w:val="32"/>
          <w:szCs w:val="32"/>
        </w:rPr>
      </w:pPr>
    </w:p>
    <w:p w14:paraId="69BDFAB8">
      <w:pPr>
        <w:adjustRightInd w:val="0"/>
        <w:snapToGrid w:val="0"/>
        <w:spacing w:line="360" w:lineRule="auto"/>
        <w:jc w:val="center"/>
        <w:rPr>
          <w:rFonts w:hint="eastAsia" w:ascii="黑体" w:hAnsi="黑体" w:eastAsia="黑体"/>
          <w:b/>
          <w:color w:val="000000"/>
          <w:sz w:val="32"/>
          <w:szCs w:val="32"/>
        </w:rPr>
      </w:pPr>
    </w:p>
    <w:p w14:paraId="6DBAD536">
      <w:pPr>
        <w:adjustRightInd w:val="0"/>
        <w:snapToGrid w:val="0"/>
        <w:spacing w:line="360" w:lineRule="auto"/>
        <w:jc w:val="center"/>
        <w:rPr>
          <w:rFonts w:hint="eastAsia" w:ascii="黑体" w:hAnsi="黑体" w:eastAsia="黑体"/>
          <w:b/>
          <w:color w:val="000000"/>
          <w:sz w:val="32"/>
          <w:szCs w:val="32"/>
        </w:rPr>
      </w:pPr>
    </w:p>
    <w:p w14:paraId="36F5099B">
      <w:pPr>
        <w:adjustRightInd w:val="0"/>
        <w:snapToGrid w:val="0"/>
        <w:spacing w:line="360" w:lineRule="auto"/>
        <w:jc w:val="center"/>
        <w:rPr>
          <w:rFonts w:hint="eastAsia" w:ascii="黑体" w:hAnsi="黑体" w:eastAsia="黑体"/>
          <w:b/>
          <w:color w:val="000000"/>
          <w:sz w:val="32"/>
          <w:szCs w:val="32"/>
        </w:rPr>
      </w:pPr>
    </w:p>
    <w:p w14:paraId="080A4ED9">
      <w:pPr>
        <w:adjustRightInd w:val="0"/>
        <w:snapToGrid w:val="0"/>
        <w:spacing w:line="360" w:lineRule="auto"/>
        <w:jc w:val="center"/>
        <w:rPr>
          <w:rFonts w:hint="eastAsia" w:ascii="黑体" w:hAnsi="黑体" w:eastAsia="黑体"/>
          <w:b/>
          <w:color w:val="000000"/>
          <w:sz w:val="32"/>
          <w:szCs w:val="32"/>
        </w:rPr>
      </w:pPr>
    </w:p>
    <w:p w14:paraId="65440892">
      <w:pPr>
        <w:adjustRightInd w:val="0"/>
        <w:snapToGrid w:val="0"/>
        <w:spacing w:line="360" w:lineRule="auto"/>
        <w:jc w:val="center"/>
        <w:rPr>
          <w:rFonts w:hint="eastAsia" w:ascii="黑体" w:hAnsi="黑体" w:eastAsia="黑体"/>
          <w:b/>
          <w:color w:val="000000"/>
          <w:sz w:val="32"/>
          <w:szCs w:val="32"/>
        </w:rPr>
      </w:pPr>
    </w:p>
    <w:p w14:paraId="035C6C28">
      <w:pPr>
        <w:adjustRightInd w:val="0"/>
        <w:snapToGrid w:val="0"/>
        <w:spacing w:line="360" w:lineRule="auto"/>
        <w:jc w:val="center"/>
        <w:rPr>
          <w:rFonts w:hint="eastAsia" w:ascii="黑体" w:hAnsi="黑体" w:eastAsia="黑体"/>
          <w:b/>
          <w:color w:val="000000"/>
          <w:sz w:val="32"/>
          <w:szCs w:val="32"/>
        </w:rPr>
      </w:pPr>
    </w:p>
    <w:p w14:paraId="15AE8977">
      <w:pPr>
        <w:adjustRightInd w:val="0"/>
        <w:snapToGrid w:val="0"/>
        <w:spacing w:line="360" w:lineRule="auto"/>
        <w:jc w:val="center"/>
        <w:rPr>
          <w:rFonts w:hint="eastAsia" w:ascii="黑体" w:hAnsi="黑体" w:eastAsia="黑体"/>
          <w:b/>
          <w:color w:val="000000"/>
          <w:sz w:val="32"/>
          <w:szCs w:val="32"/>
        </w:rPr>
      </w:pPr>
    </w:p>
    <w:p w14:paraId="3D598709">
      <w:pPr>
        <w:adjustRightInd w:val="0"/>
        <w:snapToGrid w:val="0"/>
        <w:spacing w:line="360" w:lineRule="auto"/>
        <w:jc w:val="center"/>
        <w:rPr>
          <w:rFonts w:ascii="黑体" w:hAnsi="黑体" w:eastAsia="黑体"/>
          <w:b/>
          <w:color w:val="000000"/>
          <w:sz w:val="32"/>
          <w:szCs w:val="32"/>
        </w:rPr>
      </w:pPr>
      <w:commentRangeStart w:id="3"/>
      <w:r>
        <w:rPr>
          <w:rFonts w:hint="eastAsia" w:ascii="黑体" w:hAnsi="黑体" w:eastAsia="黑体"/>
          <w:b/>
          <w:color w:val="000000"/>
          <w:sz w:val="32"/>
          <w:szCs w:val="32"/>
        </w:rPr>
        <w:t>表目录</w:t>
      </w:r>
      <w:commentRangeEnd w:id="3"/>
      <w:r>
        <w:rPr>
          <w:rStyle w:val="33"/>
          <w:rFonts w:ascii="黑体" w:hAnsi="黑体" w:eastAsia="黑体"/>
          <w:sz w:val="32"/>
          <w:szCs w:val="32"/>
        </w:rPr>
        <w:commentReference w:id="3"/>
      </w:r>
    </w:p>
    <w:p w14:paraId="079C2B87">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Style w:val="32"/>
          <w:rFonts w:hint="eastAsia"/>
          <w:b/>
          <w:color w:val="000000"/>
          <w:sz w:val="24"/>
          <w:szCs w:val="24"/>
          <w:u w:val="none"/>
        </w:rPr>
        <w:t>表5.1</w:t>
      </w:r>
      <w:r>
        <w:rPr>
          <w:rStyle w:val="32"/>
          <w:b/>
          <w:color w:val="000000"/>
          <w:sz w:val="24"/>
          <w:szCs w:val="24"/>
          <w:u w:val="none"/>
        </w:rPr>
        <w:t>各地市玉米产量指标统计</w:t>
      </w:r>
      <w:r>
        <w:rPr>
          <w:rStyle w:val="32"/>
          <w:rFonts w:hint="eastAsia"/>
          <w:b/>
          <w:color w:val="000000"/>
          <w:sz w:val="24"/>
          <w:szCs w:val="24"/>
          <w:u w:val="none"/>
        </w:rPr>
        <w:t>（千克/公顷）</w:t>
      </w:r>
      <w:r>
        <w:rPr>
          <w:color w:val="000000"/>
          <w:sz w:val="24"/>
          <w:szCs w:val="24"/>
        </w:rPr>
        <w:tab/>
      </w:r>
      <w:r>
        <w:rPr>
          <w:color w:val="000000"/>
          <w:sz w:val="24"/>
          <w:szCs w:val="24"/>
        </w:rPr>
        <w:t>3</w:t>
      </w:r>
      <w:r>
        <w:rPr>
          <w:color w:val="000000"/>
          <w:sz w:val="24"/>
          <w:szCs w:val="24"/>
        </w:rPr>
        <w:fldChar w:fldCharType="end"/>
      </w:r>
    </w:p>
    <w:p w14:paraId="0D3E9C48">
      <w:pPr>
        <w:pStyle w:val="18"/>
        <w:tabs>
          <w:tab w:val="right" w:leader="dot" w:pos="9060"/>
        </w:tabs>
        <w:snapToGrid w:val="0"/>
        <w:spacing w:line="360" w:lineRule="auto"/>
        <w:rPr>
          <w:color w:val="000000"/>
          <w:sz w:val="24"/>
          <w:szCs w:val="24"/>
        </w:rPr>
      </w:pPr>
      <w:commentRangeStart w:id="4"/>
      <w:r>
        <w:rPr>
          <w:color w:val="000000"/>
          <w:sz w:val="24"/>
          <w:szCs w:val="24"/>
        </w:rPr>
        <w:fldChar w:fldCharType="begin"/>
      </w:r>
      <w:r>
        <w:rPr>
          <w:rStyle w:val="32"/>
          <w:color w:val="000000"/>
          <w:sz w:val="24"/>
          <w:szCs w:val="24"/>
          <w:u w:val="none"/>
        </w:rPr>
        <w:instrText xml:space="preserve"> </w:instrText>
      </w:r>
      <w:r>
        <w:rPr>
          <w:color w:val="000000"/>
          <w:sz w:val="24"/>
          <w:szCs w:val="24"/>
        </w:rPr>
        <w:instrText xml:space="preserve">HYPERLINK \l "_Toc485030081"</w:instrText>
      </w:r>
      <w:r>
        <w:rPr>
          <w:rStyle w:val="32"/>
          <w:color w:val="000000"/>
          <w:sz w:val="24"/>
          <w:szCs w:val="24"/>
          <w:u w:val="none"/>
        </w:rPr>
        <w:instrText xml:space="preserve"> </w:instrText>
      </w:r>
      <w:r>
        <w:rPr>
          <w:color w:val="000000"/>
          <w:sz w:val="24"/>
          <w:szCs w:val="24"/>
        </w:rPr>
        <w:fldChar w:fldCharType="separate"/>
      </w:r>
      <w:r>
        <w:rPr>
          <w:rStyle w:val="32"/>
          <w:rFonts w:hint="eastAsia"/>
          <w:b/>
          <w:color w:val="000000"/>
          <w:sz w:val="24"/>
          <w:szCs w:val="24"/>
          <w:u w:val="none"/>
        </w:rPr>
        <w:t>表5.2德州市玉米价格与产量统计表</w:t>
      </w:r>
      <w:r>
        <w:rPr>
          <w:color w:val="000000"/>
          <w:sz w:val="24"/>
          <w:szCs w:val="24"/>
        </w:rPr>
        <w:tab/>
      </w:r>
      <w:r>
        <w:rPr>
          <w:color w:val="000000"/>
          <w:sz w:val="24"/>
          <w:szCs w:val="24"/>
        </w:rPr>
        <w:t>3</w:t>
      </w:r>
      <w:r>
        <w:rPr>
          <w:color w:val="000000"/>
          <w:sz w:val="24"/>
          <w:szCs w:val="24"/>
        </w:rPr>
        <w:fldChar w:fldCharType="end"/>
      </w:r>
      <w:commentRangeEnd w:id="4"/>
      <w:r>
        <w:rPr>
          <w:rStyle w:val="33"/>
        </w:rPr>
        <w:commentReference w:id="4"/>
      </w:r>
    </w:p>
    <w:p w14:paraId="75D757C2"/>
    <w:p w14:paraId="614E9F24">
      <w:pPr>
        <w:adjustRightInd w:val="0"/>
        <w:snapToGrid w:val="0"/>
        <w:jc w:val="center"/>
        <w:rPr>
          <w:rFonts w:ascii="黑体" w:hAnsi="黑体" w:eastAsia="黑体"/>
          <w:b/>
          <w:sz w:val="32"/>
          <w:szCs w:val="32"/>
        </w:rPr>
      </w:pPr>
      <w:r>
        <w:rPr>
          <w:b/>
          <w:sz w:val="24"/>
          <w:szCs w:val="24"/>
        </w:rPr>
        <w:br w:type="page"/>
      </w:r>
      <w:commentRangeStart w:id="5"/>
      <w:r>
        <w:rPr>
          <w:rFonts w:hint="eastAsia" w:ascii="黑体" w:hAnsi="黑体" w:eastAsia="黑体"/>
          <w:b/>
          <w:sz w:val="32"/>
          <w:szCs w:val="32"/>
        </w:rPr>
        <w:t>图目录</w:t>
      </w:r>
      <w:commentRangeEnd w:id="5"/>
      <w:r>
        <w:rPr>
          <w:rStyle w:val="33"/>
          <w:rFonts w:ascii="黑体" w:hAnsi="黑体" w:eastAsia="黑体"/>
          <w:sz w:val="32"/>
          <w:szCs w:val="32"/>
        </w:rPr>
        <w:commentReference w:id="5"/>
      </w:r>
    </w:p>
    <w:p w14:paraId="3C4D0193">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Fonts w:hint="eastAsia"/>
          <w:b/>
          <w:color w:val="000000"/>
          <w:sz w:val="24"/>
          <w:szCs w:val="24"/>
        </w:rPr>
        <w:t>图</w:t>
      </w:r>
      <w:r>
        <w:rPr>
          <w:rStyle w:val="32"/>
          <w:rFonts w:hint="eastAsia"/>
          <w:b/>
          <w:color w:val="000000"/>
          <w:sz w:val="24"/>
          <w:szCs w:val="24"/>
          <w:u w:val="none"/>
        </w:rPr>
        <w:t>5.</w:t>
      </w:r>
      <w:r>
        <w:rPr>
          <w:rStyle w:val="32"/>
          <w:b/>
          <w:color w:val="000000"/>
          <w:sz w:val="24"/>
          <w:szCs w:val="24"/>
          <w:u w:val="none"/>
        </w:rPr>
        <w:t>1</w:t>
      </w:r>
      <w:r>
        <w:rPr>
          <w:color w:val="000000"/>
          <w:sz w:val="24"/>
          <w:szCs w:val="24"/>
        </w:rPr>
        <w:tab/>
      </w:r>
      <w:r>
        <w:rPr>
          <w:color w:val="000000"/>
          <w:sz w:val="24"/>
          <w:szCs w:val="24"/>
        </w:rPr>
        <w:t>3</w:t>
      </w:r>
      <w:r>
        <w:rPr>
          <w:color w:val="000000"/>
          <w:sz w:val="24"/>
          <w:szCs w:val="24"/>
        </w:rPr>
        <w:fldChar w:fldCharType="end"/>
      </w:r>
    </w:p>
    <w:p w14:paraId="7142328D">
      <w:pPr>
        <w:pStyle w:val="18"/>
        <w:tabs>
          <w:tab w:val="right" w:leader="dot" w:pos="9060"/>
        </w:tabs>
        <w:snapToGrid w:val="0"/>
        <w:spacing w:line="360" w:lineRule="auto"/>
        <w:rPr>
          <w:color w:val="000000"/>
          <w:sz w:val="24"/>
          <w:szCs w:val="24"/>
        </w:rPr>
      </w:pPr>
      <w:commentRangeStart w:id="6"/>
      <w:r>
        <w:rPr>
          <w:color w:val="000000"/>
          <w:sz w:val="24"/>
          <w:szCs w:val="24"/>
        </w:rPr>
        <w:fldChar w:fldCharType="begin"/>
      </w:r>
      <w:r>
        <w:rPr>
          <w:rStyle w:val="32"/>
          <w:color w:val="000000"/>
          <w:sz w:val="24"/>
          <w:szCs w:val="24"/>
          <w:u w:val="none"/>
        </w:rPr>
        <w:instrText xml:space="preserve"> </w:instrText>
      </w:r>
      <w:r>
        <w:rPr>
          <w:color w:val="000000"/>
          <w:sz w:val="24"/>
          <w:szCs w:val="24"/>
        </w:rPr>
        <w:instrText xml:space="preserve">HYPERLINK \l "_Toc485030081"</w:instrText>
      </w:r>
      <w:r>
        <w:rPr>
          <w:rStyle w:val="32"/>
          <w:color w:val="000000"/>
          <w:sz w:val="24"/>
          <w:szCs w:val="24"/>
          <w:u w:val="none"/>
        </w:rPr>
        <w:instrText xml:space="preserve"> </w:instrText>
      </w:r>
      <w:r>
        <w:rPr>
          <w:color w:val="000000"/>
          <w:sz w:val="24"/>
          <w:szCs w:val="24"/>
        </w:rPr>
        <w:fldChar w:fldCharType="separate"/>
      </w:r>
      <w:r>
        <w:rPr>
          <w:rFonts w:hint="eastAsia"/>
          <w:b/>
          <w:color w:val="000000"/>
          <w:sz w:val="24"/>
          <w:szCs w:val="24"/>
        </w:rPr>
        <w:t>图</w:t>
      </w:r>
      <w:r>
        <w:rPr>
          <w:rStyle w:val="32"/>
          <w:rFonts w:hint="eastAsia"/>
          <w:b/>
          <w:color w:val="000000"/>
          <w:sz w:val="24"/>
          <w:szCs w:val="24"/>
          <w:u w:val="none"/>
        </w:rPr>
        <w:t>5.2</w:t>
      </w:r>
      <w:r>
        <w:rPr>
          <w:color w:val="000000"/>
          <w:sz w:val="24"/>
          <w:szCs w:val="24"/>
        </w:rPr>
        <w:tab/>
      </w:r>
      <w:r>
        <w:rPr>
          <w:color w:val="000000"/>
          <w:sz w:val="24"/>
          <w:szCs w:val="24"/>
        </w:rPr>
        <w:t>3</w:t>
      </w:r>
      <w:r>
        <w:rPr>
          <w:color w:val="000000"/>
          <w:sz w:val="24"/>
          <w:szCs w:val="24"/>
        </w:rPr>
        <w:fldChar w:fldCharType="end"/>
      </w:r>
      <w:commentRangeEnd w:id="6"/>
      <w:r>
        <w:rPr>
          <w:rStyle w:val="33"/>
        </w:rPr>
        <w:commentReference w:id="6"/>
      </w:r>
    </w:p>
    <w:p w14:paraId="1E24AAC3">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Fonts w:hint="eastAsia"/>
          <w:b/>
          <w:color w:val="000000"/>
          <w:sz w:val="24"/>
          <w:szCs w:val="24"/>
        </w:rPr>
        <w:t>图</w:t>
      </w:r>
      <w:r>
        <w:rPr>
          <w:rStyle w:val="32"/>
          <w:rFonts w:hint="eastAsia"/>
          <w:b/>
          <w:color w:val="000000"/>
          <w:sz w:val="24"/>
          <w:szCs w:val="24"/>
          <w:u w:val="none"/>
        </w:rPr>
        <w:t>5.3</w:t>
      </w:r>
      <w:r>
        <w:rPr>
          <w:color w:val="000000"/>
          <w:sz w:val="24"/>
          <w:szCs w:val="24"/>
        </w:rPr>
        <w:tab/>
      </w:r>
      <w:r>
        <w:rPr>
          <w:color w:val="000000"/>
          <w:sz w:val="24"/>
          <w:szCs w:val="24"/>
        </w:rPr>
        <w:t>3</w:t>
      </w:r>
      <w:r>
        <w:rPr>
          <w:color w:val="000000"/>
          <w:sz w:val="24"/>
          <w:szCs w:val="24"/>
        </w:rPr>
        <w:fldChar w:fldCharType="end"/>
      </w:r>
    </w:p>
    <w:p w14:paraId="7FB7C2EB"/>
    <w:p w14:paraId="47BDA788"/>
    <w:p w14:paraId="51D0F77A">
      <w:pPr>
        <w:pStyle w:val="18"/>
        <w:tabs>
          <w:tab w:val="right" w:leader="dot" w:pos="9060"/>
        </w:tabs>
        <w:snapToGrid w:val="0"/>
        <w:spacing w:line="360" w:lineRule="auto"/>
        <w:jc w:val="center"/>
        <w:rPr>
          <w:color w:val="000000"/>
          <w:sz w:val="24"/>
          <w:szCs w:val="24"/>
        </w:rPr>
      </w:pPr>
    </w:p>
    <w:p w14:paraId="58B2F2D0">
      <w:pPr>
        <w:pStyle w:val="18"/>
        <w:tabs>
          <w:tab w:val="right" w:leader="dot" w:pos="9060"/>
        </w:tabs>
        <w:snapToGrid w:val="0"/>
        <w:spacing w:line="360" w:lineRule="auto"/>
        <w:jc w:val="center"/>
        <w:rPr>
          <w:rFonts w:ascii="黑体" w:hAnsi="黑体" w:eastAsia="黑体"/>
          <w:b/>
          <w:sz w:val="32"/>
          <w:szCs w:val="32"/>
        </w:rPr>
      </w:pPr>
      <w:r>
        <w:rPr>
          <w:color w:val="000000"/>
          <w:sz w:val="24"/>
          <w:szCs w:val="24"/>
        </w:rPr>
        <w:br w:type="page"/>
      </w:r>
      <w:commentRangeStart w:id="7"/>
      <w:r>
        <w:rPr>
          <w:rFonts w:hint="eastAsia" w:ascii="黑体" w:hAnsi="黑体" w:eastAsia="黑体"/>
          <w:b/>
          <w:sz w:val="32"/>
          <w:szCs w:val="32"/>
        </w:rPr>
        <w:t>中英文缩略词对照表</w:t>
      </w:r>
      <w:commentRangeEnd w:id="7"/>
      <w:r>
        <w:rPr>
          <w:rStyle w:val="33"/>
          <w:rFonts w:ascii="黑体" w:hAnsi="黑体" w:eastAsia="黑体"/>
          <w:sz w:val="32"/>
          <w:szCs w:val="32"/>
        </w:rPr>
        <w:commentReference w:id="7"/>
      </w:r>
    </w:p>
    <w:p w14:paraId="53A00177">
      <w:pPr>
        <w:adjustRightInd w:val="0"/>
        <w:snapToGrid w:val="0"/>
        <w:rPr>
          <w:b/>
          <w:sz w:val="24"/>
          <w:szCs w:val="24"/>
        </w:rPr>
      </w:pPr>
    </w:p>
    <w:tbl>
      <w:tblPr>
        <w:tblStyle w:val="29"/>
        <w:tblW w:w="9286"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5124"/>
        <w:gridCol w:w="2806"/>
      </w:tblGrid>
      <w:tr w14:paraId="2DB5DDE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top w:val="single" w:color="auto" w:sz="12" w:space="0"/>
              <w:bottom w:val="single" w:color="auto" w:sz="4" w:space="0"/>
              <w:right w:val="nil"/>
            </w:tcBorders>
          </w:tcPr>
          <w:p w14:paraId="3C652000">
            <w:pPr>
              <w:adjustRightInd w:val="0"/>
              <w:snapToGrid w:val="0"/>
              <w:jc w:val="center"/>
              <w:rPr>
                <w:sz w:val="24"/>
                <w:szCs w:val="24"/>
              </w:rPr>
            </w:pPr>
            <w:r>
              <w:rPr>
                <w:rFonts w:hint="eastAsia"/>
                <w:sz w:val="24"/>
                <w:szCs w:val="24"/>
              </w:rPr>
              <w:t>英文缩写</w:t>
            </w:r>
          </w:p>
        </w:tc>
        <w:tc>
          <w:tcPr>
            <w:tcW w:w="5124" w:type="dxa"/>
            <w:tcBorders>
              <w:top w:val="single" w:color="auto" w:sz="12" w:space="0"/>
              <w:left w:val="nil"/>
              <w:bottom w:val="single" w:color="auto" w:sz="4" w:space="0"/>
              <w:right w:val="nil"/>
            </w:tcBorders>
          </w:tcPr>
          <w:p w14:paraId="0E897DD0">
            <w:pPr>
              <w:adjustRightInd w:val="0"/>
              <w:snapToGrid w:val="0"/>
              <w:jc w:val="center"/>
              <w:rPr>
                <w:sz w:val="24"/>
                <w:szCs w:val="24"/>
              </w:rPr>
            </w:pPr>
            <w:r>
              <w:rPr>
                <w:rFonts w:hint="eastAsia"/>
                <w:sz w:val="24"/>
                <w:szCs w:val="24"/>
              </w:rPr>
              <w:t>英文全称</w:t>
            </w:r>
          </w:p>
        </w:tc>
        <w:tc>
          <w:tcPr>
            <w:tcW w:w="2806" w:type="dxa"/>
            <w:tcBorders>
              <w:top w:val="single" w:color="auto" w:sz="12" w:space="0"/>
              <w:left w:val="nil"/>
              <w:bottom w:val="single" w:color="auto" w:sz="4" w:space="0"/>
            </w:tcBorders>
          </w:tcPr>
          <w:p w14:paraId="4BAC57EC">
            <w:pPr>
              <w:adjustRightInd w:val="0"/>
              <w:snapToGrid w:val="0"/>
              <w:jc w:val="center"/>
              <w:rPr>
                <w:sz w:val="24"/>
                <w:szCs w:val="24"/>
              </w:rPr>
            </w:pPr>
            <w:r>
              <w:rPr>
                <w:rFonts w:hint="eastAsia"/>
                <w:sz w:val="24"/>
                <w:szCs w:val="24"/>
              </w:rPr>
              <w:t>中文名称</w:t>
            </w:r>
          </w:p>
        </w:tc>
      </w:tr>
      <w:tr w14:paraId="5C9231D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right w:val="nil"/>
            </w:tcBorders>
          </w:tcPr>
          <w:p w14:paraId="350E2F8C">
            <w:pPr>
              <w:adjustRightInd w:val="0"/>
              <w:snapToGrid w:val="0"/>
              <w:jc w:val="center"/>
              <w:rPr>
                <w:b/>
                <w:sz w:val="24"/>
                <w:szCs w:val="24"/>
              </w:rPr>
            </w:pPr>
            <w:commentRangeStart w:id="8"/>
            <w:r>
              <w:rPr>
                <w:sz w:val="24"/>
                <w:szCs w:val="24"/>
              </w:rPr>
              <w:t>ARIMA</w:t>
            </w:r>
          </w:p>
        </w:tc>
        <w:tc>
          <w:tcPr>
            <w:tcW w:w="5124" w:type="dxa"/>
            <w:tcBorders>
              <w:left w:val="nil"/>
              <w:right w:val="nil"/>
            </w:tcBorders>
          </w:tcPr>
          <w:p w14:paraId="7C42DEC7">
            <w:pPr>
              <w:adjustRightInd w:val="0"/>
              <w:snapToGrid w:val="0"/>
              <w:jc w:val="center"/>
              <w:rPr>
                <w:sz w:val="24"/>
                <w:szCs w:val="24"/>
              </w:rPr>
            </w:pPr>
            <w:r>
              <w:rPr>
                <w:sz w:val="24"/>
                <w:szCs w:val="24"/>
              </w:rPr>
              <w:t>Autoregressive Integrated Moving Average</w:t>
            </w:r>
          </w:p>
        </w:tc>
        <w:tc>
          <w:tcPr>
            <w:tcW w:w="2806" w:type="dxa"/>
            <w:tcBorders>
              <w:left w:val="nil"/>
            </w:tcBorders>
          </w:tcPr>
          <w:p w14:paraId="2C697F17">
            <w:pPr>
              <w:adjustRightInd w:val="0"/>
              <w:snapToGrid w:val="0"/>
              <w:jc w:val="center"/>
              <w:rPr>
                <w:sz w:val="24"/>
                <w:szCs w:val="24"/>
              </w:rPr>
            </w:pPr>
            <w:r>
              <w:rPr>
                <w:rFonts w:hint="eastAsia"/>
                <w:sz w:val="24"/>
                <w:szCs w:val="24"/>
              </w:rPr>
              <w:t>自回归积分滑动平均</w:t>
            </w:r>
            <w:commentRangeEnd w:id="8"/>
            <w:r>
              <w:rPr>
                <w:rStyle w:val="33"/>
                <w:sz w:val="24"/>
                <w:szCs w:val="24"/>
              </w:rPr>
              <w:commentReference w:id="8"/>
            </w:r>
          </w:p>
        </w:tc>
      </w:tr>
      <w:tr w14:paraId="42D9CA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bottom w:val="single" w:color="auto" w:sz="12" w:space="0"/>
              <w:right w:val="nil"/>
            </w:tcBorders>
          </w:tcPr>
          <w:p w14:paraId="3830081C">
            <w:pPr>
              <w:adjustRightInd w:val="0"/>
              <w:snapToGrid w:val="0"/>
              <w:jc w:val="center"/>
              <w:rPr>
                <w:sz w:val="24"/>
                <w:szCs w:val="24"/>
              </w:rPr>
            </w:pPr>
          </w:p>
          <w:p w14:paraId="65897D6A">
            <w:pPr>
              <w:adjustRightInd w:val="0"/>
              <w:snapToGrid w:val="0"/>
              <w:jc w:val="center"/>
              <w:rPr>
                <w:sz w:val="24"/>
                <w:szCs w:val="24"/>
              </w:rPr>
            </w:pPr>
          </w:p>
        </w:tc>
        <w:tc>
          <w:tcPr>
            <w:tcW w:w="5124" w:type="dxa"/>
            <w:tcBorders>
              <w:left w:val="nil"/>
              <w:bottom w:val="single" w:color="auto" w:sz="12" w:space="0"/>
              <w:right w:val="nil"/>
            </w:tcBorders>
          </w:tcPr>
          <w:p w14:paraId="669D34C8">
            <w:pPr>
              <w:adjustRightInd w:val="0"/>
              <w:snapToGrid w:val="0"/>
              <w:jc w:val="center"/>
              <w:rPr>
                <w:sz w:val="24"/>
                <w:szCs w:val="24"/>
              </w:rPr>
            </w:pPr>
          </w:p>
        </w:tc>
        <w:tc>
          <w:tcPr>
            <w:tcW w:w="2806" w:type="dxa"/>
            <w:tcBorders>
              <w:left w:val="nil"/>
              <w:bottom w:val="single" w:color="auto" w:sz="12" w:space="0"/>
            </w:tcBorders>
          </w:tcPr>
          <w:p w14:paraId="37FEBE5D">
            <w:pPr>
              <w:adjustRightInd w:val="0"/>
              <w:snapToGrid w:val="0"/>
              <w:jc w:val="center"/>
              <w:rPr>
                <w:sz w:val="24"/>
                <w:szCs w:val="24"/>
              </w:rPr>
            </w:pPr>
          </w:p>
        </w:tc>
      </w:tr>
    </w:tbl>
    <w:p w14:paraId="7E979DB6">
      <w:pPr>
        <w:adjustRightInd w:val="0"/>
        <w:snapToGrid w:val="0"/>
        <w:rPr>
          <w:b/>
          <w:sz w:val="24"/>
          <w:szCs w:val="24"/>
        </w:rPr>
      </w:pPr>
    </w:p>
    <w:p w14:paraId="45BF5DD9">
      <w:pPr>
        <w:adjustRightInd w:val="0"/>
        <w:snapToGrid w:val="0"/>
        <w:rPr>
          <w:b/>
          <w:sz w:val="24"/>
          <w:szCs w:val="24"/>
        </w:rPr>
      </w:pPr>
    </w:p>
    <w:p w14:paraId="59802E30">
      <w:pPr>
        <w:adjustRightInd w:val="0"/>
        <w:snapToGrid w:val="0"/>
        <w:rPr>
          <w:b/>
          <w:sz w:val="24"/>
          <w:szCs w:val="24"/>
        </w:rPr>
      </w:pPr>
    </w:p>
    <w:p w14:paraId="2578D7E8">
      <w:pPr>
        <w:adjustRightInd w:val="0"/>
        <w:snapToGrid w:val="0"/>
        <w:rPr>
          <w:b/>
          <w:sz w:val="24"/>
          <w:szCs w:val="24"/>
        </w:rPr>
      </w:pPr>
    </w:p>
    <w:p w14:paraId="27FFAB69">
      <w:pPr>
        <w:adjustRightInd w:val="0"/>
        <w:snapToGrid w:val="0"/>
        <w:rPr>
          <w:b/>
          <w:sz w:val="24"/>
          <w:szCs w:val="24"/>
        </w:rPr>
      </w:pPr>
    </w:p>
    <w:p w14:paraId="165FA39A">
      <w:pPr>
        <w:adjustRightInd w:val="0"/>
        <w:snapToGrid w:val="0"/>
        <w:rPr>
          <w:b/>
          <w:sz w:val="24"/>
          <w:szCs w:val="24"/>
        </w:rPr>
      </w:pPr>
    </w:p>
    <w:p w14:paraId="6E141738">
      <w:pPr>
        <w:adjustRightInd w:val="0"/>
        <w:snapToGrid w:val="0"/>
        <w:rPr>
          <w:b/>
          <w:sz w:val="24"/>
          <w:szCs w:val="24"/>
        </w:rPr>
      </w:pPr>
    </w:p>
    <w:p w14:paraId="13CBBC1A">
      <w:pPr>
        <w:adjustRightInd w:val="0"/>
        <w:snapToGrid w:val="0"/>
        <w:rPr>
          <w:b/>
          <w:sz w:val="24"/>
          <w:szCs w:val="24"/>
        </w:rPr>
      </w:pPr>
    </w:p>
    <w:p w14:paraId="09FBF58F">
      <w:pPr>
        <w:adjustRightInd w:val="0"/>
        <w:snapToGrid w:val="0"/>
        <w:rPr>
          <w:b/>
          <w:sz w:val="24"/>
          <w:szCs w:val="24"/>
        </w:rPr>
      </w:pPr>
    </w:p>
    <w:p w14:paraId="220826B3">
      <w:pPr>
        <w:adjustRightInd w:val="0"/>
        <w:snapToGrid w:val="0"/>
        <w:rPr>
          <w:b/>
          <w:sz w:val="24"/>
          <w:szCs w:val="24"/>
        </w:rPr>
      </w:pPr>
    </w:p>
    <w:p w14:paraId="2DC159E6">
      <w:pPr>
        <w:adjustRightInd w:val="0"/>
        <w:snapToGrid w:val="0"/>
        <w:rPr>
          <w:b/>
          <w:sz w:val="24"/>
          <w:szCs w:val="24"/>
        </w:rPr>
      </w:pPr>
    </w:p>
    <w:p w14:paraId="6DA2A139">
      <w:pPr>
        <w:adjustRightInd w:val="0"/>
        <w:snapToGrid w:val="0"/>
        <w:rPr>
          <w:b/>
          <w:sz w:val="24"/>
          <w:szCs w:val="24"/>
        </w:rPr>
      </w:pPr>
    </w:p>
    <w:p w14:paraId="130FEB4A">
      <w:pPr>
        <w:adjustRightInd w:val="0"/>
        <w:snapToGrid w:val="0"/>
        <w:rPr>
          <w:b/>
          <w:sz w:val="24"/>
          <w:szCs w:val="24"/>
        </w:rPr>
      </w:pPr>
    </w:p>
    <w:p w14:paraId="64C238CB">
      <w:pPr>
        <w:adjustRightInd w:val="0"/>
        <w:snapToGrid w:val="0"/>
        <w:rPr>
          <w:b/>
          <w:sz w:val="24"/>
          <w:szCs w:val="24"/>
        </w:rPr>
      </w:pPr>
    </w:p>
    <w:p w14:paraId="0A09A575">
      <w:pPr>
        <w:adjustRightInd w:val="0"/>
        <w:snapToGrid w:val="0"/>
        <w:rPr>
          <w:b/>
          <w:sz w:val="24"/>
          <w:szCs w:val="24"/>
        </w:rPr>
      </w:pPr>
    </w:p>
    <w:p w14:paraId="2F1D2796">
      <w:pPr>
        <w:adjustRightInd w:val="0"/>
        <w:snapToGrid w:val="0"/>
        <w:rPr>
          <w:b/>
          <w:sz w:val="24"/>
          <w:szCs w:val="24"/>
        </w:rPr>
      </w:pPr>
    </w:p>
    <w:p w14:paraId="0C84742C">
      <w:pPr>
        <w:adjustRightInd w:val="0"/>
        <w:snapToGrid w:val="0"/>
        <w:rPr>
          <w:b/>
          <w:sz w:val="24"/>
          <w:szCs w:val="24"/>
        </w:rPr>
      </w:pPr>
    </w:p>
    <w:p w14:paraId="506964D2">
      <w:pPr>
        <w:adjustRightInd w:val="0"/>
        <w:snapToGrid w:val="0"/>
        <w:rPr>
          <w:b/>
          <w:sz w:val="24"/>
          <w:szCs w:val="24"/>
        </w:rPr>
      </w:pPr>
    </w:p>
    <w:p w14:paraId="764DA5E6">
      <w:pPr>
        <w:adjustRightInd w:val="0"/>
        <w:snapToGrid w:val="0"/>
        <w:rPr>
          <w:b/>
          <w:sz w:val="24"/>
          <w:szCs w:val="24"/>
        </w:rPr>
      </w:pPr>
    </w:p>
    <w:p w14:paraId="1BE2720D">
      <w:pPr>
        <w:adjustRightInd w:val="0"/>
        <w:snapToGrid w:val="0"/>
        <w:rPr>
          <w:b/>
          <w:sz w:val="24"/>
          <w:szCs w:val="24"/>
        </w:rPr>
      </w:pPr>
    </w:p>
    <w:p w14:paraId="593E1C30">
      <w:pPr>
        <w:adjustRightInd w:val="0"/>
        <w:snapToGrid w:val="0"/>
        <w:rPr>
          <w:b/>
          <w:sz w:val="24"/>
          <w:szCs w:val="24"/>
        </w:rPr>
      </w:pPr>
    </w:p>
    <w:p w14:paraId="3ECC3182">
      <w:pPr>
        <w:adjustRightInd w:val="0"/>
        <w:snapToGrid w:val="0"/>
        <w:rPr>
          <w:b/>
          <w:sz w:val="24"/>
          <w:szCs w:val="24"/>
        </w:rPr>
      </w:pPr>
    </w:p>
    <w:p w14:paraId="3A941A6C">
      <w:pPr>
        <w:adjustRightInd w:val="0"/>
        <w:snapToGrid w:val="0"/>
        <w:rPr>
          <w:b/>
          <w:sz w:val="24"/>
          <w:szCs w:val="24"/>
        </w:rPr>
      </w:pPr>
    </w:p>
    <w:p w14:paraId="5EC6850A">
      <w:pPr>
        <w:adjustRightInd w:val="0"/>
        <w:snapToGrid w:val="0"/>
        <w:rPr>
          <w:b/>
          <w:sz w:val="24"/>
          <w:szCs w:val="24"/>
        </w:rPr>
      </w:pPr>
    </w:p>
    <w:p w14:paraId="00EAA861">
      <w:pPr>
        <w:adjustRightInd w:val="0"/>
        <w:snapToGrid w:val="0"/>
        <w:rPr>
          <w:b/>
          <w:sz w:val="24"/>
          <w:szCs w:val="24"/>
        </w:rPr>
      </w:pPr>
    </w:p>
    <w:p w14:paraId="454A3940">
      <w:pPr>
        <w:adjustRightInd w:val="0"/>
        <w:snapToGrid w:val="0"/>
        <w:rPr>
          <w:b/>
          <w:sz w:val="24"/>
          <w:szCs w:val="24"/>
        </w:rPr>
      </w:pPr>
    </w:p>
    <w:p w14:paraId="4B8325F1">
      <w:pPr>
        <w:adjustRightInd w:val="0"/>
        <w:snapToGrid w:val="0"/>
        <w:rPr>
          <w:b/>
          <w:sz w:val="24"/>
          <w:szCs w:val="24"/>
        </w:rPr>
      </w:pPr>
    </w:p>
    <w:p w14:paraId="01535DC1">
      <w:pPr>
        <w:adjustRightInd w:val="0"/>
        <w:snapToGrid w:val="0"/>
        <w:rPr>
          <w:b/>
          <w:sz w:val="24"/>
          <w:szCs w:val="24"/>
        </w:rPr>
      </w:pPr>
    </w:p>
    <w:p w14:paraId="7640685C">
      <w:pPr>
        <w:adjustRightInd w:val="0"/>
        <w:snapToGrid w:val="0"/>
        <w:rPr>
          <w:b/>
          <w:sz w:val="24"/>
          <w:szCs w:val="24"/>
        </w:rPr>
      </w:pPr>
    </w:p>
    <w:p w14:paraId="1FF09AEB">
      <w:pPr>
        <w:adjustRightInd w:val="0"/>
        <w:snapToGrid w:val="0"/>
        <w:rPr>
          <w:b/>
          <w:sz w:val="24"/>
          <w:szCs w:val="24"/>
        </w:rPr>
      </w:pPr>
    </w:p>
    <w:p w14:paraId="49AF14B9">
      <w:pPr>
        <w:adjustRightInd w:val="0"/>
        <w:snapToGrid w:val="0"/>
        <w:rPr>
          <w:b/>
          <w:sz w:val="24"/>
          <w:szCs w:val="24"/>
        </w:rPr>
      </w:pPr>
    </w:p>
    <w:p w14:paraId="5CBAD685">
      <w:pPr>
        <w:adjustRightInd w:val="0"/>
        <w:snapToGrid w:val="0"/>
        <w:rPr>
          <w:b/>
          <w:sz w:val="24"/>
          <w:szCs w:val="24"/>
        </w:rPr>
      </w:pPr>
    </w:p>
    <w:p w14:paraId="06C499F1">
      <w:pPr>
        <w:adjustRightInd w:val="0"/>
        <w:snapToGrid w:val="0"/>
        <w:rPr>
          <w:b/>
          <w:sz w:val="24"/>
          <w:szCs w:val="24"/>
        </w:rPr>
      </w:pPr>
    </w:p>
    <w:p w14:paraId="3F525C10">
      <w:pPr>
        <w:adjustRightInd w:val="0"/>
        <w:snapToGrid w:val="0"/>
        <w:rPr>
          <w:b/>
          <w:sz w:val="24"/>
          <w:szCs w:val="24"/>
        </w:rPr>
      </w:pPr>
    </w:p>
    <w:p w14:paraId="55A29D6A">
      <w:pPr>
        <w:adjustRightInd w:val="0"/>
        <w:snapToGrid w:val="0"/>
        <w:rPr>
          <w:b/>
          <w:sz w:val="24"/>
          <w:szCs w:val="24"/>
        </w:rPr>
      </w:pPr>
    </w:p>
    <w:p w14:paraId="5A7DCFE9">
      <w:pPr>
        <w:adjustRightInd w:val="0"/>
        <w:snapToGrid w:val="0"/>
        <w:rPr>
          <w:b/>
          <w:sz w:val="24"/>
          <w:szCs w:val="24"/>
        </w:rPr>
      </w:pPr>
    </w:p>
    <w:p w14:paraId="279E06C5">
      <w:pPr>
        <w:adjustRightInd w:val="0"/>
        <w:snapToGrid w:val="0"/>
        <w:rPr>
          <w:b/>
          <w:sz w:val="24"/>
          <w:szCs w:val="24"/>
        </w:rPr>
      </w:pPr>
    </w:p>
    <w:p w14:paraId="74768755">
      <w:pPr>
        <w:adjustRightInd w:val="0"/>
        <w:snapToGrid w:val="0"/>
        <w:rPr>
          <w:b/>
          <w:sz w:val="24"/>
          <w:szCs w:val="24"/>
        </w:rPr>
      </w:pPr>
    </w:p>
    <w:p w14:paraId="0232CAEF">
      <w:pPr>
        <w:adjustRightInd w:val="0"/>
        <w:snapToGrid w:val="0"/>
        <w:rPr>
          <w:b/>
          <w:sz w:val="24"/>
          <w:szCs w:val="24"/>
        </w:rPr>
      </w:pPr>
    </w:p>
    <w:p w14:paraId="719FDA75">
      <w:pPr>
        <w:adjustRightInd w:val="0"/>
        <w:snapToGrid w:val="0"/>
        <w:rPr>
          <w:b/>
          <w:sz w:val="24"/>
          <w:szCs w:val="24"/>
        </w:rPr>
      </w:pPr>
    </w:p>
    <w:p w14:paraId="1C8CBE15">
      <w:pPr>
        <w:adjustRightInd w:val="0"/>
        <w:snapToGrid w:val="0"/>
        <w:rPr>
          <w:b/>
          <w:sz w:val="24"/>
          <w:szCs w:val="24"/>
        </w:rPr>
      </w:pPr>
    </w:p>
    <w:p w14:paraId="020CBB21">
      <w:pPr>
        <w:pStyle w:val="2"/>
        <w:jc w:val="center"/>
        <w:rPr>
          <w:rFonts w:ascii="黑体"/>
        </w:rPr>
      </w:pPr>
      <w:bookmarkStart w:id="5" w:name="_Toc481076015"/>
      <w:commentRangeStart w:id="9"/>
      <w:r>
        <w:rPr>
          <w:rFonts w:hint="eastAsia" w:ascii="黑体"/>
        </w:rPr>
        <w:t>摘  要</w:t>
      </w:r>
      <w:commentRangeEnd w:id="9"/>
      <w:r>
        <w:rPr>
          <w:rStyle w:val="33"/>
          <w:rFonts w:eastAsia="宋体"/>
          <w:bCs w:val="0"/>
          <w:kern w:val="2"/>
        </w:rPr>
        <w:commentReference w:id="9"/>
      </w:r>
      <w:bookmarkEnd w:id="5"/>
    </w:p>
    <w:p w14:paraId="3C04649B">
      <w:pPr>
        <w:snapToGrid w:val="0"/>
        <w:spacing w:line="360" w:lineRule="auto"/>
        <w:ind w:firstLine="480" w:firstLineChars="200"/>
        <w:rPr>
          <w:rFonts w:hint="eastAsia" w:ascii="宋体" w:hAnsi="宋体" w:eastAsia="宋体" w:cs="宋体"/>
          <w:b w:val="0"/>
          <w:bCs w:val="0"/>
          <w:color w:val="000000"/>
          <w:sz w:val="24"/>
          <w:szCs w:val="24"/>
        </w:rPr>
      </w:pPr>
      <w:commentRangeStart w:id="10"/>
      <w:r>
        <w:rPr>
          <w:rFonts w:hint="eastAsia"/>
          <w:sz w:val="24"/>
          <w:szCs w:val="24"/>
        </w:rPr>
        <w:t>我国农业</w:t>
      </w:r>
      <w:r>
        <w:rPr>
          <w:rFonts w:hint="eastAsia" w:ascii="宋体" w:hAnsi="宋体" w:eastAsia="宋体" w:cs="宋体"/>
          <w:b w:val="0"/>
          <w:bCs w:val="0"/>
          <w:color w:val="000000"/>
          <w:sz w:val="24"/>
          <w:szCs w:val="24"/>
        </w:rPr>
        <w:t xml:space="preserve">农村生活污水治理是建设美丽村庄的关键环节，对于人居环境治理及黄河流域生态 保护与高质量发展发挥着重要作用，同时，也是生态保护工作中的突出短板。除污水处 理技术与设备等硬性条件的影响之外，农村生活污水的治理还与政策、经济、人口等宏 观因素息息相关。在农村生活水环境协同机制不甚完善的背景下，治理责任归属模糊， 主体间利益分化、内生动力不足、监督力度低下，地方政府宏观调控职能存在缺陷主等 农村生活污水治理缺陷逐渐显现。 </w:t>
      </w:r>
    </w:p>
    <w:p w14:paraId="0EBCEA1A">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基于此，本研究以东营市为例，首先，利用个案研究法，归纳出原始型、发展型、 成熟型、先进型四种具有东营市地域特色的农村生活污水治理模式并深入分析；其次， 审视地方政府、治污企业与农村居民种群间协同治理缺陷，借助 </w:t>
      </w:r>
      <w:r>
        <w:rPr>
          <w:rFonts w:ascii="Times New Roman PS MT" w:hAnsi="Times New Roman PS MT" w:eastAsia="Times New Roman PS MT" w:cs="Times New Roman PS MT"/>
          <w:b w:val="0"/>
          <w:bCs w:val="0"/>
          <w:color w:val="000000"/>
          <w:sz w:val="24"/>
          <w:szCs w:val="24"/>
        </w:rPr>
        <w:t xml:space="preserve">Jacobian </w:t>
      </w:r>
      <w:r>
        <w:rPr>
          <w:rFonts w:hint="eastAsia" w:ascii="宋体" w:hAnsi="宋体" w:eastAsia="宋体" w:cs="宋体"/>
          <w:b w:val="0"/>
          <w:bCs w:val="0"/>
          <w:color w:val="000000"/>
          <w:sz w:val="24"/>
          <w:szCs w:val="24"/>
        </w:rPr>
        <w:t xml:space="preserve">矩阵进行均衡 点稳定性分析，构建东营市农村生活污水治理的三方主体演化博弈模型；最后，利用 </w:t>
      </w:r>
      <w:r>
        <w:rPr>
          <w:rFonts w:hint="default" w:ascii="Times New Roman PS MT" w:hAnsi="Times New Roman PS MT" w:eastAsia="Times New Roman PS MT" w:cs="Times New Roman PS MT"/>
          <w:b w:val="0"/>
          <w:bCs w:val="0"/>
          <w:color w:val="000000"/>
          <w:sz w:val="24"/>
          <w:szCs w:val="24"/>
        </w:rPr>
        <w:t xml:space="preserve">Matlab </w:t>
      </w:r>
      <w:r>
        <w:rPr>
          <w:rFonts w:hint="eastAsia" w:ascii="宋体" w:hAnsi="宋体" w:eastAsia="宋体" w:cs="宋体"/>
          <w:b w:val="0"/>
          <w:bCs w:val="0"/>
          <w:color w:val="000000"/>
          <w:sz w:val="24"/>
          <w:szCs w:val="24"/>
        </w:rPr>
        <w:t xml:space="preserve">软件进行数值仿真，探究农村生活污水治理过程中关键参数的变动和主体策略选 择对演化博弈的影响。 </w:t>
      </w:r>
    </w:p>
    <w:p w14:paraId="377D69DA">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研究得出结论：（</w:t>
      </w:r>
      <w:r>
        <w:rPr>
          <w:rFonts w:hint="default" w:ascii="Times New Roman PS MT" w:hAnsi="Times New Roman PS MT" w:eastAsia="Times New Roman PS MT" w:cs="Times New Roman PS MT"/>
          <w:b w:val="0"/>
          <w:bCs w:val="0"/>
          <w:color w:val="000000"/>
          <w:sz w:val="24"/>
          <w:szCs w:val="24"/>
        </w:rPr>
        <w:t>1</w:t>
      </w:r>
      <w:r>
        <w:rPr>
          <w:rFonts w:hint="eastAsia" w:ascii="宋体" w:hAnsi="宋体" w:eastAsia="宋体" w:cs="宋体"/>
          <w:b w:val="0"/>
          <w:bCs w:val="0"/>
          <w:color w:val="000000"/>
          <w:sz w:val="24"/>
          <w:szCs w:val="24"/>
        </w:rPr>
        <w:t>）现阶段成熟型模式下的农村生活污水治理工作较为完备，污水 治理设施齐全、村民环保意识较高、雨污分流技术成熟，具有重要的借鉴意义。（</w:t>
      </w:r>
      <w:r>
        <w:rPr>
          <w:rFonts w:hint="default" w:ascii="Times New Roman PS MT" w:hAnsi="Times New Roman PS MT" w:eastAsia="Times New Roman PS MT" w:cs="Times New Roman PS MT"/>
          <w:b w:val="0"/>
          <w:bCs w:val="0"/>
          <w:color w:val="000000"/>
          <w:sz w:val="24"/>
          <w:szCs w:val="24"/>
        </w:rPr>
        <w:t>2</w:t>
      </w:r>
      <w:r>
        <w:rPr>
          <w:rFonts w:hint="eastAsia" w:ascii="宋体" w:hAnsi="宋体" w:eastAsia="宋体" w:cs="宋体"/>
          <w:b w:val="0"/>
          <w:bCs w:val="0"/>
          <w:color w:val="000000"/>
          <w:sz w:val="24"/>
          <w:szCs w:val="24"/>
        </w:rPr>
        <w:t>）地 方政府与治污企业在委托—代理关系中携手关注与保障农民的利益，农村居民就会产生 参与意愿，并在地方政府“积极治理”、治污企业“治污”、农村居民“参与”时达到三 方协同治理农村生活污水的最佳状态。（</w:t>
      </w:r>
      <w:r>
        <w:rPr>
          <w:rFonts w:hint="default" w:ascii="Times New Roman PS MT" w:hAnsi="Times New Roman PS MT" w:eastAsia="Times New Roman PS MT" w:cs="Times New Roman PS MT"/>
          <w:b w:val="0"/>
          <w:bCs w:val="0"/>
          <w:color w:val="000000"/>
          <w:sz w:val="24"/>
          <w:szCs w:val="24"/>
        </w:rPr>
        <w:t>3</w:t>
      </w:r>
      <w:r>
        <w:rPr>
          <w:rFonts w:hint="eastAsia" w:ascii="宋体" w:hAnsi="宋体" w:eastAsia="宋体" w:cs="宋体"/>
          <w:b w:val="0"/>
          <w:bCs w:val="0"/>
          <w:color w:val="000000"/>
          <w:sz w:val="24"/>
          <w:szCs w:val="24"/>
        </w:rPr>
        <w:t>）博弈结果向均衡点靠拢的过程中，奖惩参数 对东营市农村生活污水治理的影响最大。上级政府与东营市地方政府应设定足够大的奖 励或惩罚额度，至少应大于主体选择消极策略时获得的额外收益。（</w:t>
      </w:r>
      <w:r>
        <w:rPr>
          <w:rFonts w:hint="default" w:ascii="Times New Roman PS MT" w:hAnsi="Times New Roman PS MT" w:eastAsia="Times New Roman PS MT" w:cs="Times New Roman PS MT"/>
          <w:b w:val="0"/>
          <w:bCs w:val="0"/>
          <w:color w:val="000000"/>
          <w:sz w:val="24"/>
          <w:szCs w:val="24"/>
        </w:rPr>
        <w:t>4</w:t>
      </w:r>
      <w:r>
        <w:rPr>
          <w:rFonts w:hint="eastAsia" w:ascii="宋体" w:hAnsi="宋体" w:eastAsia="宋体" w:cs="宋体"/>
          <w:b w:val="0"/>
          <w:bCs w:val="0"/>
          <w:color w:val="000000"/>
          <w:sz w:val="24"/>
          <w:szCs w:val="24"/>
        </w:rPr>
        <w:t xml:space="preserve">）现阶段的水生态 治理更贴近政企共治，即只要东营市地方政府与治污企业联手致力于扶持与保障农民参 与治理的切实利益，依然可以形成三方共治的稳定局面。 </w:t>
      </w:r>
    </w:p>
    <w:p w14:paraId="0BFA1C5F">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针对研究结果，提出建议：明确界定污水治理责权、加强主体间环保利益协调、补 全奖惩制度漏洞、积极配合地方政府治理工作、完善“三方联动”的农村水环境治理体 系，致力于实现主体间的制衡与激励、农村生活污水治理效能最大化，以期为东营市乃 至全国的农村生活污是治理提供经验借鉴。 </w:t>
      </w:r>
    </w:p>
    <w:p w14:paraId="1777DADF">
      <w:pPr>
        <w:snapToGrid w:val="0"/>
        <w:spacing w:line="360" w:lineRule="auto"/>
        <w:ind w:firstLine="482" w:firstLineChars="200"/>
        <w:rPr>
          <w:sz w:val="24"/>
          <w:szCs w:val="24"/>
        </w:rPr>
      </w:pPr>
      <w:r>
        <w:rPr>
          <w:rFonts w:hint="eastAsia" w:ascii="宋体" w:hAnsi="宋体" w:eastAsia="宋体" w:cs="宋体"/>
          <w:b/>
          <w:bCs/>
          <w:color w:val="000000"/>
          <w:sz w:val="24"/>
          <w:szCs w:val="24"/>
        </w:rPr>
        <w:t>关键词：农村生活污水治理；三方演化博弈；多元协同治理；利益相关者</w:t>
      </w:r>
      <w:commentRangeEnd w:id="10"/>
      <w:r>
        <w:rPr>
          <w:rStyle w:val="33"/>
        </w:rPr>
        <w:commentReference w:id="10"/>
      </w:r>
    </w:p>
    <w:p w14:paraId="3325B31E"/>
    <w:p w14:paraId="485541B1">
      <w:pPr>
        <w:snapToGrid w:val="0"/>
        <w:spacing w:line="360" w:lineRule="auto"/>
        <w:ind w:firstLine="482" w:firstLineChars="200"/>
        <w:rPr>
          <w:sz w:val="10"/>
          <w:szCs w:val="10"/>
        </w:rPr>
      </w:pPr>
      <w:r>
        <w:rPr>
          <w:b/>
          <w:sz w:val="24"/>
          <w:szCs w:val="24"/>
        </w:rPr>
        <w:br w:type="page"/>
      </w:r>
    </w:p>
    <w:p w14:paraId="09C5FB32">
      <w:pPr>
        <w:pStyle w:val="2"/>
        <w:jc w:val="center"/>
        <w:rPr>
          <w:b/>
          <w:bCs w:val="0"/>
        </w:rPr>
      </w:pPr>
      <w:bookmarkStart w:id="6" w:name="_Toc481076016"/>
      <w:commentRangeStart w:id="11"/>
      <w:r>
        <w:rPr>
          <w:b/>
          <w:bCs w:val="0"/>
        </w:rPr>
        <w:t>Abstract</w:t>
      </w:r>
      <w:commentRangeEnd w:id="11"/>
      <w:r>
        <w:rPr>
          <w:rStyle w:val="33"/>
          <w:rFonts w:eastAsia="宋体"/>
          <w:bCs w:val="0"/>
          <w:kern w:val="2"/>
        </w:rPr>
        <w:commentReference w:id="11"/>
      </w:r>
      <w:bookmarkEnd w:id="6"/>
    </w:p>
    <w:p w14:paraId="0B42631E">
      <w:pPr>
        <w:snapToGrid w:val="0"/>
        <w:spacing w:line="360" w:lineRule="auto"/>
        <w:ind w:firstLine="198"/>
        <w:rPr>
          <w:sz w:val="24"/>
          <w:szCs w:val="24"/>
        </w:rPr>
      </w:pPr>
      <w:commentRangeStart w:id="12"/>
      <w:r>
        <w:rPr>
          <w:sz w:val="24"/>
          <w:szCs w:val="24"/>
        </w:rPr>
        <w:t xml:space="preserve">As the frequent natural disaster and increasing market risks in Agricultural production, to built effective risk management is an important way to insure the </w:t>
      </w:r>
      <w:r>
        <w:rPr>
          <w:rFonts w:hint="eastAsia"/>
          <w:sz w:val="24"/>
          <w:szCs w:val="24"/>
        </w:rPr>
        <w:t xml:space="preserve">steady </w:t>
      </w:r>
      <w:r>
        <w:rPr>
          <w:sz w:val="24"/>
          <w:szCs w:val="24"/>
        </w:rPr>
        <w:t>production of Agriculture in our country. Agricultural insurance plays an irreplaceable role in it, but the traditional setting loss exploration agricultural insurance remains intrinsic managerial and technical difficulties. Under the premise of objective standards</w:t>
      </w:r>
      <w:r>
        <w:rPr>
          <w:rFonts w:hint="eastAsia"/>
          <w:sz w:val="24"/>
          <w:szCs w:val="24"/>
        </w:rPr>
        <w:t>，</w:t>
      </w:r>
      <w:r>
        <w:rPr>
          <w:sz w:val="24"/>
          <w:szCs w:val="24"/>
        </w:rPr>
        <w:t>agricultural index insurance products are more scientific and reasonable</w:t>
      </w:r>
      <w:r>
        <w:rPr>
          <w:rFonts w:hint="eastAsia"/>
          <w:sz w:val="24"/>
          <w:szCs w:val="24"/>
        </w:rPr>
        <w:t>，</w:t>
      </w:r>
      <w:r>
        <w:rPr>
          <w:sz w:val="24"/>
          <w:szCs w:val="24"/>
        </w:rPr>
        <w:t>and they can improve the performance  of traditional agricultural insurance well. In the Central First Document of 2007-2017 and “Several Opinions about Speeding up the Development of Modern Insurance Services” issued by the State Council in 2014</w:t>
      </w:r>
      <w:r>
        <w:rPr>
          <w:rFonts w:hint="eastAsia"/>
          <w:sz w:val="24"/>
          <w:szCs w:val="24"/>
        </w:rPr>
        <w:t>，</w:t>
      </w:r>
      <w:r>
        <w:rPr>
          <w:sz w:val="24"/>
          <w:szCs w:val="24"/>
        </w:rPr>
        <w:t>the development and innovation of agricultural insurance were both mentioned. But currently the study concerning it is far from perfect. Among which</w:t>
      </w:r>
      <w:r>
        <w:rPr>
          <w:rFonts w:hint="eastAsia"/>
          <w:sz w:val="24"/>
          <w:szCs w:val="24"/>
        </w:rPr>
        <w:t>，</w:t>
      </w:r>
      <w:r>
        <w:rPr>
          <w:sz w:val="24"/>
          <w:szCs w:val="24"/>
        </w:rPr>
        <w:t xml:space="preserve">the core technical problem </w:t>
      </w:r>
      <w:r>
        <w:rPr>
          <w:rFonts w:hint="eastAsia"/>
          <w:sz w:val="24"/>
          <w:szCs w:val="24"/>
        </w:rPr>
        <w:t xml:space="preserve">of meteorological index insurance </w:t>
      </w:r>
      <w:r>
        <w:rPr>
          <w:sz w:val="24"/>
          <w:szCs w:val="24"/>
        </w:rPr>
        <w:t>has not been effectively resolved</w:t>
      </w:r>
      <w:r>
        <w:rPr>
          <w:rFonts w:hint="eastAsia"/>
          <w:sz w:val="24"/>
          <w:szCs w:val="24"/>
        </w:rPr>
        <w:t>，</w:t>
      </w:r>
      <w:r>
        <w:rPr>
          <w:sz w:val="24"/>
          <w:szCs w:val="24"/>
        </w:rPr>
        <w:t>the study about yield index insurance has not formed mature framework</w:t>
      </w:r>
      <w:r>
        <w:rPr>
          <w:rFonts w:hint="eastAsia"/>
          <w:sz w:val="24"/>
          <w:szCs w:val="24"/>
        </w:rPr>
        <w:t>，</w:t>
      </w:r>
      <w:r>
        <w:rPr>
          <w:sz w:val="24"/>
          <w:szCs w:val="24"/>
        </w:rPr>
        <w:t>the study of income index insurance has been on the initial stage</w:t>
      </w:r>
      <w:r>
        <w:rPr>
          <w:rFonts w:hint="eastAsia"/>
          <w:sz w:val="24"/>
          <w:szCs w:val="24"/>
        </w:rPr>
        <w:t>，</w:t>
      </w:r>
      <w:r>
        <w:rPr>
          <w:sz w:val="24"/>
          <w:szCs w:val="24"/>
        </w:rPr>
        <w:t>in addition</w:t>
      </w:r>
      <w:r>
        <w:rPr>
          <w:rFonts w:hint="eastAsia"/>
          <w:sz w:val="24"/>
          <w:szCs w:val="24"/>
        </w:rPr>
        <w:t>，</w:t>
      </w:r>
      <w:r>
        <w:rPr>
          <w:sz w:val="24"/>
          <w:szCs w:val="24"/>
        </w:rPr>
        <w:t xml:space="preserve">the suitability comparative study about  various index insurance products in different regions stays blank. </w:t>
      </w:r>
    </w:p>
    <w:p w14:paraId="0CE120FC">
      <w:pPr>
        <w:snapToGrid w:val="0"/>
        <w:spacing w:line="360" w:lineRule="auto"/>
        <w:ind w:firstLine="198"/>
        <w:rPr>
          <w:sz w:val="24"/>
          <w:szCs w:val="24"/>
        </w:rPr>
      </w:pPr>
      <w:r>
        <w:rPr>
          <w:sz w:val="24"/>
          <w:szCs w:val="24"/>
        </w:rPr>
        <w:t>On this condition</w:t>
      </w:r>
      <w:r>
        <w:rPr>
          <w:rFonts w:hint="eastAsia"/>
          <w:sz w:val="24"/>
          <w:szCs w:val="24"/>
        </w:rPr>
        <w:t>，</w:t>
      </w:r>
      <w:r>
        <w:rPr>
          <w:sz w:val="24"/>
          <w:szCs w:val="24"/>
        </w:rPr>
        <w:t>the main work of this study are: based on literature review</w:t>
      </w:r>
      <w:r>
        <w:rPr>
          <w:rFonts w:hint="eastAsia"/>
          <w:sz w:val="24"/>
          <w:szCs w:val="24"/>
        </w:rPr>
        <w:t>，</w:t>
      </w:r>
      <w:r>
        <w:rPr>
          <w:sz w:val="24"/>
          <w:szCs w:val="24"/>
        </w:rPr>
        <w:t>firstly</w:t>
      </w:r>
      <w:r>
        <w:rPr>
          <w:rFonts w:hint="eastAsia"/>
          <w:sz w:val="24"/>
          <w:szCs w:val="24"/>
        </w:rPr>
        <w:t>，</w:t>
      </w:r>
      <w:r>
        <w:rPr>
          <w:sz w:val="24"/>
          <w:szCs w:val="24"/>
        </w:rPr>
        <w:t>we systematically analyze and review the designing features and technical difficulties of existing agricultural index insurance of weather</w:t>
      </w:r>
      <w:r>
        <w:rPr>
          <w:rFonts w:hint="eastAsia"/>
          <w:sz w:val="24"/>
          <w:szCs w:val="24"/>
        </w:rPr>
        <w:t>，</w:t>
      </w:r>
      <w:r>
        <w:rPr>
          <w:sz w:val="24"/>
          <w:szCs w:val="24"/>
        </w:rPr>
        <w:t>yield and income</w:t>
      </w:r>
      <w:r>
        <w:rPr>
          <w:rFonts w:hint="eastAsia"/>
          <w:sz w:val="24"/>
          <w:szCs w:val="24"/>
        </w:rPr>
        <w:t>，</w:t>
      </w:r>
      <w:r>
        <w:rPr>
          <w:sz w:val="24"/>
          <w:szCs w:val="24"/>
        </w:rPr>
        <w:t>and their situation and weak point in application</w:t>
      </w:r>
      <w:r>
        <w:rPr>
          <w:rFonts w:hint="eastAsia"/>
          <w:sz w:val="24"/>
          <w:szCs w:val="24"/>
        </w:rPr>
        <w:t>，</w:t>
      </w:r>
      <w:r>
        <w:rPr>
          <w:sz w:val="24"/>
          <w:szCs w:val="24"/>
        </w:rPr>
        <w:t>as well</w:t>
      </w:r>
      <w:r>
        <w:rPr>
          <w:rFonts w:hint="eastAsia"/>
          <w:sz w:val="24"/>
          <w:szCs w:val="24"/>
        </w:rPr>
        <w:t>；</w:t>
      </w:r>
      <w:r>
        <w:rPr>
          <w:sz w:val="24"/>
          <w:szCs w:val="24"/>
        </w:rPr>
        <w:t>then</w:t>
      </w:r>
      <w:r>
        <w:rPr>
          <w:rFonts w:hint="eastAsia"/>
          <w:sz w:val="24"/>
          <w:szCs w:val="24"/>
        </w:rPr>
        <w:t>，</w:t>
      </w:r>
      <w:r>
        <w:rPr>
          <w:sz w:val="24"/>
          <w:szCs w:val="24"/>
        </w:rPr>
        <w:t>taking maize of Shandong province as example</w:t>
      </w:r>
      <w:r>
        <w:rPr>
          <w:rFonts w:hint="eastAsia"/>
          <w:sz w:val="24"/>
          <w:szCs w:val="24"/>
        </w:rPr>
        <w:t>，</w:t>
      </w:r>
      <w:r>
        <w:rPr>
          <w:sz w:val="24"/>
          <w:szCs w:val="24"/>
        </w:rPr>
        <w:t xml:space="preserve">we respectively </w:t>
      </w:r>
      <w:r>
        <w:rPr>
          <w:rFonts w:hint="eastAsia"/>
          <w:sz w:val="24"/>
          <w:szCs w:val="24"/>
        </w:rPr>
        <w:t xml:space="preserve">study and </w:t>
      </w:r>
      <w:r>
        <w:rPr>
          <w:sz w:val="24"/>
          <w:szCs w:val="24"/>
        </w:rPr>
        <w:t>design index insurance on the base of risk regional planning</w:t>
      </w:r>
      <w:r>
        <w:rPr>
          <w:rFonts w:hint="eastAsia"/>
          <w:sz w:val="24"/>
          <w:szCs w:val="24"/>
        </w:rPr>
        <w:t>，</w:t>
      </w:r>
      <w:r>
        <w:rPr>
          <w:sz w:val="24"/>
          <w:szCs w:val="24"/>
        </w:rPr>
        <w:t>wind and rain lodging on the base of symbiotic factor</w:t>
      </w:r>
      <w:r>
        <w:rPr>
          <w:rFonts w:hint="eastAsia"/>
          <w:sz w:val="24"/>
          <w:szCs w:val="24"/>
        </w:rPr>
        <w:t>，</w:t>
      </w:r>
      <w:r>
        <w:rPr>
          <w:sz w:val="24"/>
          <w:szCs w:val="24"/>
        </w:rPr>
        <w:t>and income index insurance based on Census-ARIMA</w:t>
      </w:r>
      <w:r>
        <w:rPr>
          <w:rFonts w:hint="eastAsia"/>
          <w:sz w:val="24"/>
          <w:szCs w:val="24"/>
        </w:rPr>
        <w:t>；</w:t>
      </w:r>
      <w:r>
        <w:rPr>
          <w:sz w:val="24"/>
          <w:szCs w:val="24"/>
        </w:rPr>
        <w:t>at last</w:t>
      </w:r>
      <w:r>
        <w:rPr>
          <w:rFonts w:hint="eastAsia"/>
          <w:sz w:val="24"/>
          <w:szCs w:val="24"/>
        </w:rPr>
        <w:t>，</w:t>
      </w:r>
      <w:r>
        <w:rPr>
          <w:sz w:val="24"/>
          <w:szCs w:val="24"/>
        </w:rPr>
        <w:t>through comparisons of scientific features of all kinds of index insurance</w:t>
      </w:r>
      <w:r>
        <w:rPr>
          <w:rFonts w:hint="eastAsia"/>
          <w:sz w:val="24"/>
          <w:szCs w:val="24"/>
        </w:rPr>
        <w:t>，</w:t>
      </w:r>
      <w:r>
        <w:rPr>
          <w:sz w:val="24"/>
          <w:szCs w:val="24"/>
        </w:rPr>
        <w:t>combining the characteristics of objective disaster risks of all the cities of Shandong province</w:t>
      </w:r>
      <w:r>
        <w:rPr>
          <w:rFonts w:hint="eastAsia"/>
          <w:sz w:val="24"/>
          <w:szCs w:val="24"/>
        </w:rPr>
        <w:t>，</w:t>
      </w:r>
      <w:r>
        <w:rPr>
          <w:sz w:val="24"/>
          <w:szCs w:val="24"/>
        </w:rPr>
        <w:t>we carry on the research upon the suitability of maize index insurance. Contents and conclusions in details are</w:t>
      </w:r>
      <w:r>
        <w:rPr>
          <w:rFonts w:hint="eastAsia"/>
          <w:sz w:val="24"/>
          <w:szCs w:val="24"/>
        </w:rPr>
        <w:t>：</w:t>
      </w:r>
      <w:commentRangeEnd w:id="12"/>
      <w:r>
        <w:rPr>
          <w:rStyle w:val="33"/>
        </w:rPr>
        <w:commentReference w:id="12"/>
      </w:r>
    </w:p>
    <w:p w14:paraId="33BB2808">
      <w:pPr>
        <w:snapToGrid w:val="0"/>
        <w:spacing w:line="310" w:lineRule="exact"/>
        <w:ind w:firstLine="480"/>
        <w:rPr>
          <w:sz w:val="24"/>
          <w:szCs w:val="24"/>
        </w:rPr>
      </w:pPr>
      <w:r>
        <w:rPr>
          <w:sz w:val="24"/>
          <w:szCs w:val="24"/>
        </w:rPr>
        <w:t xml:space="preserve"> </w:t>
      </w:r>
    </w:p>
    <w:p w14:paraId="2DFB957F">
      <w:pPr>
        <w:adjustRightInd w:val="0"/>
        <w:snapToGrid w:val="0"/>
        <w:spacing w:line="310" w:lineRule="exact"/>
        <w:rPr>
          <w:b/>
          <w:sz w:val="24"/>
          <w:szCs w:val="24"/>
        </w:rPr>
      </w:pPr>
    </w:p>
    <w:p w14:paraId="316E7CBF">
      <w:pPr>
        <w:adjustRightInd w:val="0"/>
        <w:snapToGrid w:val="0"/>
        <w:spacing w:line="310" w:lineRule="exact"/>
        <w:ind w:firstLine="482" w:firstLineChars="200"/>
        <w:rPr>
          <w:b/>
          <w:sz w:val="24"/>
          <w:szCs w:val="24"/>
        </w:rPr>
        <w:sectPr>
          <w:footerReference r:id="rId6" w:type="default"/>
          <w:footerReference r:id="rId7" w:type="even"/>
          <w:pgSz w:w="11906" w:h="16838"/>
          <w:pgMar w:top="1418" w:right="1418" w:bottom="1418" w:left="1418" w:header="851" w:footer="992" w:gutter="0"/>
          <w:pgNumType w:fmt="upperRoman" w:start="1"/>
          <w:cols w:space="720" w:num="1"/>
          <w:docGrid w:type="lines" w:linePitch="312" w:charSpace="0"/>
        </w:sectPr>
      </w:pPr>
      <w:r>
        <w:rPr>
          <w:b/>
          <w:sz w:val="24"/>
          <w:szCs w:val="24"/>
        </w:rPr>
        <w:t>Key words: Maize Index Insurance</w:t>
      </w:r>
      <w:r>
        <w:rPr>
          <w:rFonts w:hint="eastAsia"/>
          <w:b/>
          <w:sz w:val="24"/>
          <w:szCs w:val="24"/>
        </w:rPr>
        <w:t>；</w:t>
      </w:r>
      <w:r>
        <w:rPr>
          <w:b/>
          <w:sz w:val="24"/>
          <w:szCs w:val="24"/>
        </w:rPr>
        <w:t>Design of Products</w:t>
      </w:r>
      <w:r>
        <w:rPr>
          <w:rFonts w:hint="eastAsia"/>
          <w:b/>
          <w:sz w:val="24"/>
          <w:szCs w:val="24"/>
        </w:rPr>
        <w:t>；</w:t>
      </w:r>
      <w:r>
        <w:rPr>
          <w:b/>
          <w:sz w:val="24"/>
          <w:szCs w:val="24"/>
        </w:rPr>
        <w:t>Choice of Suitability</w:t>
      </w:r>
      <w:r>
        <w:rPr>
          <w:rFonts w:hint="eastAsia"/>
          <w:b/>
          <w:sz w:val="24"/>
          <w:szCs w:val="24"/>
        </w:rPr>
        <w:t>；</w:t>
      </w:r>
      <w:r>
        <w:rPr>
          <w:b/>
          <w:sz w:val="24"/>
          <w:szCs w:val="24"/>
        </w:rPr>
        <w:t>Shandong Provi</w:t>
      </w:r>
    </w:p>
    <w:p w14:paraId="25B3E95F">
      <w:pPr>
        <w:adjustRightInd w:val="0"/>
        <w:snapToGrid w:val="0"/>
        <w:rPr>
          <w:b/>
          <w:sz w:val="24"/>
          <w:szCs w:val="24"/>
        </w:rPr>
        <w:sectPr>
          <w:footerReference r:id="rId8" w:type="default"/>
          <w:pgSz w:w="11906" w:h="16838"/>
          <w:pgMar w:top="1418" w:right="1418" w:bottom="1418" w:left="1418" w:header="851" w:footer="992" w:gutter="0"/>
          <w:cols w:space="720" w:num="1"/>
          <w:docGrid w:type="lines" w:linePitch="312" w:charSpace="0"/>
        </w:sectPr>
      </w:pPr>
    </w:p>
    <w:p w14:paraId="198A4D26">
      <w:pPr>
        <w:adjustRightInd w:val="0"/>
        <w:snapToGrid w:val="0"/>
        <w:jc w:val="center"/>
        <w:rPr>
          <w:b/>
          <w:sz w:val="10"/>
          <w:szCs w:val="10"/>
        </w:rPr>
      </w:pPr>
      <w:r>
        <mc:AlternateContent>
          <mc:Choice Requires="wps">
            <w:drawing>
              <wp:anchor distT="0" distB="0" distL="114300" distR="114300" simplePos="0" relativeHeight="251659264" behindDoc="0" locked="0" layoutInCell="1" allowOverlap="1">
                <wp:simplePos x="0" y="0"/>
                <wp:positionH relativeFrom="column">
                  <wp:posOffset>190500</wp:posOffset>
                </wp:positionH>
                <wp:positionV relativeFrom="paragraph">
                  <wp:posOffset>-277495</wp:posOffset>
                </wp:positionV>
                <wp:extent cx="987425" cy="506095"/>
                <wp:effectExtent l="0" t="0" r="1717675" b="27305"/>
                <wp:wrapNone/>
                <wp:docPr id="25" name="AutoShape 29"/>
                <wp:cNvGraphicFramePr/>
                <a:graphic xmlns:a="http://schemas.openxmlformats.org/drawingml/2006/main">
                  <a:graphicData uri="http://schemas.microsoft.com/office/word/2010/wordprocessingShape">
                    <wps:wsp>
                      <wps:cNvSpPr>
                        <a:spLocks noChangeArrowheads="1"/>
                      </wps:cNvSpPr>
                      <wps:spPr bwMode="auto">
                        <a:xfrm>
                          <a:off x="0" y="0"/>
                          <a:ext cx="987425" cy="506095"/>
                        </a:xfrm>
                        <a:prstGeom prst="wedgeRoundRectCallout">
                          <a:avLst>
                            <a:gd name="adj1" fmla="val 218491"/>
                            <a:gd name="adj2" fmla="val -32208"/>
                            <a:gd name="adj3" fmla="val 16667"/>
                          </a:avLst>
                        </a:prstGeom>
                        <a:solidFill>
                          <a:srgbClr val="00FFFF"/>
                        </a:solidFill>
                        <a:ln w="9525">
                          <a:solidFill>
                            <a:srgbClr val="000000"/>
                          </a:solidFill>
                          <a:miter lim="800000"/>
                        </a:ln>
                        <a:effectLst/>
                      </wps:spPr>
                      <wps:txbx>
                        <w:txbxContent>
                          <w:p w14:paraId="37D42896">
                            <w:pPr>
                              <w:rPr>
                                <w:color w:val="FF0000"/>
                              </w:rPr>
                            </w:pPr>
                            <w:r>
                              <w:rPr>
                                <w:rFonts w:hint="eastAsia"/>
                              </w:rPr>
                              <w:t>奇页页眉，五号，宋体</w:t>
                            </w:r>
                          </w:p>
                        </w:txbxContent>
                      </wps:txbx>
                      <wps:bodyPr rot="0" vert="horz" wrap="square" lIns="91440" tIns="45720" rIns="91440" bIns="45720" anchor="t" anchorCtr="0" upright="1">
                        <a:noAutofit/>
                      </wps:bodyPr>
                    </wps:wsp>
                  </a:graphicData>
                </a:graphic>
              </wp:anchor>
            </w:drawing>
          </mc:Choice>
          <mc:Fallback>
            <w:pict>
              <v:shape id="AutoShape 29" o:spid="_x0000_s1026" o:spt="62" type="#_x0000_t62" style="position:absolute;left:0pt;margin-left:15pt;margin-top:-21.85pt;height:39.85pt;width:77.75pt;z-index:251659264;mso-width-relative:page;mso-height-relative:page;" fillcolor="#00FFFF" filled="t" stroked="t" coordsize="21600,21600" o:gfxdata="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LV8L1XYAAAACQEAAA8AAAAAAAAAAQAgAAAAIgAAAGRycy9kb3ducmV2Lnht&#10;bFBLAQIUABQAAAAIAIdO4kA++t5oawIAABQFAAAOAAAAAAAAAAEAIAAAACcBAABkcnMvZTJvRG9j&#10;LnhtbFBLBQYAAAAABgAGAFkBAAAEBgAAAAA=&#10;" adj="57994,3843,14400">
                <v:fill on="t" focussize="0,0"/>
                <v:stroke color="#000000" miterlimit="8" joinstyle="miter"/>
                <v:imagedata o:title=""/>
                <o:lock v:ext="edit" aspectratio="f"/>
                <v:textbox>
                  <w:txbxContent>
                    <w:p w14:paraId="37D42896">
                      <w:pPr>
                        <w:rPr>
                          <w:color w:val="FF0000"/>
                        </w:rPr>
                      </w:pPr>
                      <w:r>
                        <w:rPr>
                          <w:rFonts w:hint="eastAsia"/>
                        </w:rPr>
                        <w:t>奇页页眉，五号，宋体</w:t>
                      </w:r>
                    </w:p>
                  </w:txbxContent>
                </v:textbox>
              </v:shape>
            </w:pict>
          </mc:Fallback>
        </mc:AlternateContent>
      </w:r>
    </w:p>
    <w:p w14:paraId="0E996187">
      <w:pPr>
        <w:adjustRightInd w:val="0"/>
        <w:snapToGrid w:val="0"/>
        <w:jc w:val="center"/>
        <w:rPr>
          <w:b/>
          <w:sz w:val="10"/>
          <w:szCs w:val="10"/>
        </w:rPr>
      </w:pPr>
    </w:p>
    <w:p w14:paraId="2D3F2D3E">
      <w:pPr>
        <w:pStyle w:val="2"/>
      </w:pPr>
      <w:bookmarkStart w:id="7" w:name="_Toc481076017"/>
      <w:r>
        <w:t>1</w:t>
      </w:r>
      <w:bookmarkEnd w:id="7"/>
      <w:r>
        <w:rPr>
          <w:rFonts w:hint="eastAsia"/>
        </w:rPr>
        <w:t>引言</w:t>
      </w:r>
    </w:p>
    <w:p w14:paraId="6BB77C03">
      <w:pPr>
        <w:pStyle w:val="3"/>
        <w:rPr>
          <w:rFonts w:ascii="Times New Roman" w:hAnsi="Times New Roman"/>
        </w:rPr>
      </w:pPr>
      <w:bookmarkStart w:id="8" w:name="_Toc481076018"/>
      <w:commentRangeStart w:id="13"/>
      <w:r>
        <w:rPr>
          <w:rFonts w:ascii="Times New Roman" w:hAnsi="Times New Roman"/>
        </w:rPr>
        <w:t>1.1研究背景</w:t>
      </w:r>
      <w:commentRangeEnd w:id="13"/>
      <w:r>
        <w:rPr>
          <w:rStyle w:val="33"/>
          <w:rFonts w:ascii="Times New Roman" w:hAnsi="Times New Roman" w:eastAsia="宋体"/>
          <w:bCs w:val="0"/>
        </w:rPr>
        <w:commentReference w:id="13"/>
      </w:r>
      <w:bookmarkEnd w:id="8"/>
    </w:p>
    <w:p w14:paraId="78E331DC">
      <w:pPr>
        <w:snapToGrid w:val="0"/>
        <w:spacing w:line="360" w:lineRule="auto"/>
        <w:ind w:firstLine="480" w:firstLineChars="200"/>
        <w:rPr>
          <w:sz w:val="24"/>
          <w:szCs w:val="24"/>
        </w:rPr>
      </w:pPr>
      <w:r>
        <w:rPr>
          <w:rFonts w:hint="eastAsia"/>
          <w:sz w:val="24"/>
          <w:szCs w:val="24"/>
        </w:rPr>
        <w:t>我国农业生产的</w:t>
      </w:r>
      <w:r>
        <w:rPr>
          <w:sz w:val="24"/>
          <w:szCs w:val="24"/>
        </w:rPr>
        <w:t>自然灾害频发</w:t>
      </w:r>
      <w:r>
        <w:rPr>
          <w:rFonts w:hint="eastAsia"/>
          <w:sz w:val="24"/>
          <w:szCs w:val="24"/>
        </w:rPr>
        <w:t>，农产品的</w:t>
      </w:r>
      <w:r>
        <w:rPr>
          <w:sz w:val="24"/>
          <w:szCs w:val="24"/>
        </w:rPr>
        <w:t>市场</w:t>
      </w:r>
      <w:r>
        <w:rPr>
          <w:rFonts w:hint="eastAsia"/>
          <w:sz w:val="24"/>
          <w:szCs w:val="24"/>
        </w:rPr>
        <w:t>价格</w:t>
      </w:r>
      <w:r>
        <w:rPr>
          <w:sz w:val="24"/>
          <w:szCs w:val="24"/>
        </w:rPr>
        <w:t>风险也</w:t>
      </w:r>
      <w:r>
        <w:rPr>
          <w:rFonts w:hint="eastAsia"/>
          <w:sz w:val="24"/>
          <w:szCs w:val="24"/>
        </w:rPr>
        <w:t>在不断</w:t>
      </w:r>
      <w:r>
        <w:rPr>
          <w:sz w:val="24"/>
          <w:szCs w:val="24"/>
        </w:rPr>
        <w:t>加强。</w:t>
      </w:r>
      <w:r>
        <w:rPr>
          <w:rFonts w:hint="eastAsia"/>
          <w:sz w:val="24"/>
          <w:szCs w:val="24"/>
        </w:rPr>
        <w:t>面对各类灾害风险，我国农户的风险</w:t>
      </w:r>
      <w:r>
        <w:rPr>
          <w:sz w:val="24"/>
          <w:szCs w:val="24"/>
        </w:rPr>
        <w:t>自救能力较弱，一旦遭受严重的</w:t>
      </w:r>
      <w:r>
        <w:rPr>
          <w:rFonts w:hint="eastAsia"/>
          <w:sz w:val="24"/>
          <w:szCs w:val="24"/>
        </w:rPr>
        <w:t>灾害往往</w:t>
      </w:r>
      <w:r>
        <w:rPr>
          <w:sz w:val="24"/>
          <w:szCs w:val="24"/>
        </w:rPr>
        <w:t>会造成较大损失。有效的风险</w:t>
      </w:r>
      <w:r>
        <w:rPr>
          <w:rFonts w:hint="eastAsia"/>
          <w:sz w:val="24"/>
          <w:szCs w:val="24"/>
        </w:rPr>
        <w:t>管理</w:t>
      </w:r>
      <w:r>
        <w:rPr>
          <w:sz w:val="24"/>
          <w:szCs w:val="24"/>
        </w:rPr>
        <w:t>途径是我国农业发展的重要保障，农业保险是</w:t>
      </w:r>
      <w:r>
        <w:rPr>
          <w:rFonts w:hint="eastAsia"/>
          <w:sz w:val="24"/>
          <w:szCs w:val="24"/>
        </w:rPr>
        <w:t>最主要</w:t>
      </w:r>
      <w:r>
        <w:rPr>
          <w:sz w:val="24"/>
          <w:szCs w:val="24"/>
        </w:rPr>
        <w:t>的农业金融风险管理工具。为促进农业保险的快速发展，2007年，我国开始实施中央财政补贴的农业保险制度，中央一号文件提出按照</w:t>
      </w:r>
      <w:r>
        <w:rPr>
          <w:rFonts w:hint="eastAsia"/>
          <w:sz w:val="24"/>
          <w:szCs w:val="24"/>
        </w:rPr>
        <w:t>“</w:t>
      </w:r>
      <w:r>
        <w:rPr>
          <w:sz w:val="24"/>
          <w:szCs w:val="24"/>
        </w:rPr>
        <w:t>政府引导、政策支持、市场运作、农民自愿</w:t>
      </w:r>
      <w:r>
        <w:rPr>
          <w:rFonts w:hint="eastAsia"/>
          <w:sz w:val="24"/>
          <w:szCs w:val="24"/>
        </w:rPr>
        <w:t>”</w:t>
      </w:r>
      <w:r>
        <w:rPr>
          <w:sz w:val="24"/>
          <w:szCs w:val="24"/>
        </w:rPr>
        <w:t>的原则，逐步扩大政策性农业保险的试点范围。2008年起，我国农业保险的保费收入水平便一直稳居全球第二。2016年，我国农业保险保费收入为417.7亿元，相比2007年的51.84亿元，增长了8倍之多，年均增长速度约为26.11%，承保农作物面积也占到当年播种面积的70%以上，发展速度相当之快</w:t>
      </w:r>
    </w:p>
    <w:p w14:paraId="3EFCB2D8">
      <w:pPr>
        <w:snapToGrid w:val="0"/>
        <w:spacing w:line="360" w:lineRule="auto"/>
        <w:ind w:firstLine="480" w:firstLineChars="200"/>
        <w:rPr>
          <w:sz w:val="24"/>
          <w:szCs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4222750</wp:posOffset>
                </wp:positionH>
                <wp:positionV relativeFrom="paragraph">
                  <wp:posOffset>14605</wp:posOffset>
                </wp:positionV>
                <wp:extent cx="3587750" cy="2857500"/>
                <wp:effectExtent l="5080" t="4445" r="7620" b="14605"/>
                <wp:wrapNone/>
                <wp:docPr id="8" name="文本框 8"/>
                <wp:cNvGraphicFramePr/>
                <a:graphic xmlns:a="http://schemas.openxmlformats.org/drawingml/2006/main">
                  <a:graphicData uri="http://schemas.microsoft.com/office/word/2010/wordprocessingShape">
                    <wps:wsp>
                      <wps:cNvSpPr txBox="1"/>
                      <wps:spPr>
                        <a:xfrm>
                          <a:off x="5123180" y="4470400"/>
                          <a:ext cx="3587750" cy="28575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7970438">
                            <w:pPr>
                              <w:rPr>
                                <w:rFonts w:hint="default" w:eastAsia="宋体"/>
                                <w:highlight w:val="green"/>
                                <w:lang w:val="en-US" w:eastAsia="zh-CN"/>
                              </w:rPr>
                            </w:pPr>
                            <w:r>
                              <w:rPr>
                                <w:rFonts w:hint="eastAsia"/>
                                <w:highlight w:val="green"/>
                                <w:lang w:val="en-US" w:eastAsia="zh-CN"/>
                              </w:rPr>
                              <w:t>论文出现的数字 文件等 都要在页下脚注标注 注明出处或者参考信息 脚注和正文后面的参考文献有差别 不是把参考文献都移到正文</w:t>
                            </w:r>
                          </w:p>
                        </w:txbxContent>
                      </wps:txbx>
                      <wps:bodyPr rot="0" spcFirstLastPara="0" vertOverflow="overflow" horzOverflow="overflow" vert="horz" wrap="square" lIns="91440" tIns="45720" rIns="91440" bIns="4572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32.5pt;margin-top:1.15pt;height:225pt;width:282.5pt;z-index:251667456;mso-width-relative:page;mso-height-relative:page;" fillcolor="#FFFFFF [3201]" filled="t" stroked="t" coordsize="21600,21600" o:gfxdata="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GYSsE2gAAAAoBAAAPAAAAAAAAAAEAIAAAACIAAABkcnMvZG93bnJldi54&#10;bWxQSwECFAAUAAAACACHTuJAFGbWFmoCAADQBAAADgAAAAAAAAABACAAAAApAQAAZHJzL2Uyb0Rv&#10;Yy54bWxQSwUGAAAAAAYABgBZAQAABQYAAAAA&#10;">
                <v:fill on="t" focussize="0,0"/>
                <v:stroke weight="0.5pt" color="#000000 [3204]" joinstyle="round"/>
                <v:imagedata o:title=""/>
                <o:lock v:ext="edit" aspectratio="f"/>
                <v:textbox style="mso-fit-shape-to-text:t;">
                  <w:txbxContent>
                    <w:p w14:paraId="47970438">
                      <w:pPr>
                        <w:rPr>
                          <w:rFonts w:hint="default" w:eastAsia="宋体"/>
                          <w:highlight w:val="green"/>
                          <w:lang w:val="en-US" w:eastAsia="zh-CN"/>
                        </w:rPr>
                      </w:pPr>
                      <w:r>
                        <w:rPr>
                          <w:rFonts w:hint="eastAsia"/>
                          <w:highlight w:val="green"/>
                          <w:lang w:val="en-US" w:eastAsia="zh-CN"/>
                        </w:rPr>
                        <w:t>论文出现的数字 文件等 都要在页下脚注标注 注明出处或者参考信息 脚注和正文后面的参考文献有差别 不是把参考文献都移到正文</w:t>
                      </w:r>
                    </w:p>
                  </w:txbxContent>
                </v:textbox>
              </v:shape>
            </w:pict>
          </mc:Fallback>
        </mc:AlternateContent>
      </w:r>
      <w:r>
        <w:rPr>
          <w:sz w:val="24"/>
          <w:szCs w:val="24"/>
        </w:rPr>
        <w:t>但是，随着农业保险的发展，传统</w:t>
      </w:r>
      <w:r>
        <w:rPr>
          <w:rFonts w:hint="eastAsia"/>
          <w:sz w:val="24"/>
          <w:szCs w:val="24"/>
        </w:rPr>
        <w:t>查勘定损型</w:t>
      </w:r>
      <w:r>
        <w:rPr>
          <w:sz w:val="24"/>
          <w:szCs w:val="24"/>
        </w:rPr>
        <w:t>农业保险的弊端逐渐显露，如道德风险和逆向选择难以防范，保险费率的厘定存在技术和应用的</w:t>
      </w:r>
      <w:r>
        <w:rPr>
          <w:rFonts w:hint="eastAsia"/>
          <w:sz w:val="24"/>
          <w:szCs w:val="24"/>
        </w:rPr>
        <w:t>双重</w:t>
      </w:r>
      <w:r>
        <w:rPr>
          <w:sz w:val="24"/>
          <w:szCs w:val="24"/>
        </w:rPr>
        <w:t>困难，</w:t>
      </w:r>
      <w:r>
        <w:rPr>
          <w:rFonts w:hint="eastAsia"/>
          <w:sz w:val="24"/>
          <w:szCs w:val="24"/>
        </w:rPr>
        <w:t>保险保障水平低，保险</w:t>
      </w:r>
      <w:r>
        <w:rPr>
          <w:sz w:val="24"/>
          <w:szCs w:val="24"/>
        </w:rPr>
        <w:t>成本居高</w:t>
      </w:r>
      <w:r>
        <w:rPr>
          <w:color w:val="000000"/>
          <w:sz w:val="24"/>
          <w:szCs w:val="24"/>
        </w:rPr>
        <w:t>不下等。这些问题共同影响着农户的投保</w:t>
      </w:r>
      <w:r>
        <w:rPr>
          <w:rFonts w:hint="eastAsia"/>
          <w:color w:val="000000"/>
          <w:sz w:val="24"/>
          <w:szCs w:val="24"/>
        </w:rPr>
        <w:t>需求</w:t>
      </w:r>
      <w:r>
        <w:rPr>
          <w:color w:val="000000"/>
          <w:sz w:val="24"/>
          <w:szCs w:val="24"/>
        </w:rPr>
        <w:t>意愿和保险公司的承保</w:t>
      </w:r>
      <w:r>
        <w:rPr>
          <w:rFonts w:hint="eastAsia"/>
          <w:color w:val="000000"/>
          <w:sz w:val="24"/>
          <w:szCs w:val="24"/>
        </w:rPr>
        <w:t>供给意愿</w:t>
      </w:r>
      <w:r>
        <w:rPr>
          <w:color w:val="000000"/>
          <w:sz w:val="24"/>
          <w:szCs w:val="24"/>
        </w:rPr>
        <w:t>，造成目前我国农业保险市场供需双不足的矛盾</w:t>
      </w:r>
      <w:r>
        <w:rPr>
          <w:rFonts w:hint="eastAsia"/>
          <w:color w:val="000000"/>
          <w:sz w:val="24"/>
          <w:szCs w:val="24"/>
        </w:rPr>
        <w:t>日益突出</w:t>
      </w:r>
      <w:r>
        <w:rPr>
          <w:color w:val="000000"/>
          <w:sz w:val="24"/>
          <w:szCs w:val="24"/>
        </w:rPr>
        <w:t>。</w:t>
      </w:r>
      <w:r>
        <w:rPr>
          <w:rFonts w:hint="eastAsia"/>
          <w:color w:val="000000"/>
          <w:sz w:val="24"/>
          <w:szCs w:val="24"/>
        </w:rPr>
        <w:t>2013-2016年我国农业保险年均增长速度仅为8.04%，远远低于2007年政策性农业保险实施以来</w:t>
      </w:r>
      <w:r>
        <w:rPr>
          <w:sz w:val="24"/>
          <w:szCs w:val="24"/>
        </w:rPr>
        <w:t>26.11%</w:t>
      </w:r>
      <w:r>
        <w:rPr>
          <w:rFonts w:hint="eastAsia"/>
          <w:sz w:val="24"/>
          <w:szCs w:val="24"/>
        </w:rPr>
        <w:t>的年均</w:t>
      </w:r>
      <w:r>
        <w:rPr>
          <w:rFonts w:hint="eastAsia"/>
          <w:color w:val="000000"/>
          <w:sz w:val="24"/>
          <w:szCs w:val="24"/>
        </w:rPr>
        <w:t>增长速度。2015年，我国的农业保险深度仅为0.62%，保险密度仅为69.57元，相比美国（2013年保险深度为7.47%，保险密度约为305.55美元）等发达国家存在较大差距。2015年，我国种植业保险的保障水平为7.75%，是美国种植业保险保障水平的1/8</w:t>
      </w:r>
      <w:r>
        <w:rPr>
          <w:rStyle w:val="34"/>
          <w:color w:val="000000"/>
          <w:szCs w:val="24"/>
        </w:rPr>
        <w:footnoteReference w:id="0"/>
      </w:r>
      <w:r>
        <w:rPr>
          <w:rFonts w:hint="eastAsia"/>
          <w:color w:val="000000"/>
          <w:sz w:val="24"/>
          <w:szCs w:val="24"/>
        </w:rPr>
        <w:t>。由此可见，我国农业保险的发展仍存在巨大上升空间。</w:t>
      </w:r>
    </w:p>
    <w:p w14:paraId="4E080DCA">
      <w:pPr>
        <w:snapToGrid w:val="0"/>
        <w:spacing w:line="360" w:lineRule="auto"/>
        <w:ind w:firstLine="420" w:firstLineChars="200"/>
        <w:rPr>
          <w:sz w:val="24"/>
          <w:szCs w:val="24"/>
        </w:rPr>
      </w:pPr>
      <w:r>
        <mc:AlternateContent>
          <mc:Choice Requires="wps">
            <w:drawing>
              <wp:anchor distT="0" distB="0" distL="114300" distR="114300" simplePos="0" relativeHeight="251660288" behindDoc="0" locked="0" layoutInCell="1" allowOverlap="1">
                <wp:simplePos x="0" y="0"/>
                <wp:positionH relativeFrom="column">
                  <wp:posOffset>3060065</wp:posOffset>
                </wp:positionH>
                <wp:positionV relativeFrom="paragraph">
                  <wp:posOffset>1549400</wp:posOffset>
                </wp:positionV>
                <wp:extent cx="2845435" cy="673100"/>
                <wp:effectExtent l="788670" t="5715" r="13970" b="254635"/>
                <wp:wrapNone/>
                <wp:docPr id="7" name="AutoShape 472"/>
                <wp:cNvGraphicFramePr/>
                <a:graphic xmlns:a="http://schemas.openxmlformats.org/drawingml/2006/main">
                  <a:graphicData uri="http://schemas.microsoft.com/office/word/2010/wordprocessingShape">
                    <wps:wsp>
                      <wps:cNvSpPr>
                        <a:spLocks noChangeArrowheads="1"/>
                      </wps:cNvSpPr>
                      <wps:spPr bwMode="auto">
                        <a:xfrm>
                          <a:off x="0" y="0"/>
                          <a:ext cx="2845435" cy="673100"/>
                        </a:xfrm>
                        <a:prstGeom prst="wedgeRoundRectCallout">
                          <a:avLst>
                            <a:gd name="adj1" fmla="val -77315"/>
                            <a:gd name="adj2" fmla="val 83208"/>
                            <a:gd name="adj3" fmla="val 16667"/>
                          </a:avLst>
                        </a:prstGeom>
                        <a:solidFill>
                          <a:srgbClr val="00FFFF"/>
                        </a:solidFill>
                        <a:ln w="9525">
                          <a:solidFill>
                            <a:srgbClr val="000000"/>
                          </a:solidFill>
                          <a:miter lim="800000"/>
                        </a:ln>
                      </wps:spPr>
                      <wps:txbx>
                        <w:txbxContent>
                          <w:p w14:paraId="09CA6FE4">
                            <w:pPr>
                              <w:pStyle w:val="8"/>
                            </w:pPr>
                            <w:r>
                              <w:rPr>
                                <w:rFonts w:hint="eastAsia"/>
                                <w:color w:val="000000"/>
                              </w:rPr>
                              <w:t>脚注：</w:t>
                            </w:r>
                            <w:r>
                              <w:rPr>
                                <w:rFonts w:hint="eastAsia"/>
                              </w:rPr>
                              <w:t>小五，宋体，Times New Roman。引用格式参照该格式。要将数据来源信息描述</w:t>
                            </w:r>
                          </w:p>
                          <w:p w14:paraId="363326E4">
                            <w:pPr>
                              <w:pStyle w:val="8"/>
                              <w:rPr>
                                <w:color w:val="FF0000"/>
                              </w:rPr>
                            </w:pPr>
                            <w:r>
                              <w:rPr>
                                <w:rFonts w:hint="eastAsia"/>
                              </w:rPr>
                              <w:t>详细。脚注要每页重新编码。</w:t>
                            </w:r>
                          </w:p>
                          <w:p w14:paraId="6367C0FB">
                            <w:pPr>
                              <w:pStyle w:val="8"/>
                            </w:pPr>
                          </w:p>
                        </w:txbxContent>
                      </wps:txbx>
                      <wps:bodyPr rot="0" vert="horz" wrap="square" lIns="0" tIns="0" rIns="0" bIns="0" anchor="t" anchorCtr="0" upright="1">
                        <a:noAutofit/>
                      </wps:bodyPr>
                    </wps:wsp>
                  </a:graphicData>
                </a:graphic>
              </wp:anchor>
            </w:drawing>
          </mc:Choice>
          <mc:Fallback>
            <w:pict>
              <v:shape id="AutoShape 472" o:spid="_x0000_s1026" o:spt="62" type="#_x0000_t62" style="position:absolute;left:0pt;margin-left:240.95pt;margin-top:122pt;height:53pt;width:224.05pt;z-index:251660288;mso-width-relative:page;mso-height-relative:page;" fillcolor="#00FFFF" filled="t" stroked="t" coordsize="21600,21600" o:gfxdata="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V7+93ZAAAACwEAAA8AAAAAAAAAAQAgAAAAIgAAAGRycy9kb3ducmV2LnhtbFBLAQIUABQAAAAI&#10;AIdO4kBbypoTXgIAAPYEAAAOAAAAAAAAAAEAIAAAACgBAABkcnMvZTJvRG9jLnhtbFBLBQYAAAAA&#10;BgAGAFkBAAD4BQAAAAA=&#10;" adj="-5900,28773,14400">
                <v:fill on="t" focussize="0,0"/>
                <v:stroke color="#000000" miterlimit="8" joinstyle="miter"/>
                <v:imagedata o:title=""/>
                <o:lock v:ext="edit" aspectratio="f"/>
                <v:textbox inset="0mm,0mm,0mm,0mm">
                  <w:txbxContent>
                    <w:p w14:paraId="09CA6FE4">
                      <w:pPr>
                        <w:pStyle w:val="8"/>
                      </w:pPr>
                      <w:r>
                        <w:rPr>
                          <w:rFonts w:hint="eastAsia"/>
                          <w:color w:val="000000"/>
                        </w:rPr>
                        <w:t>脚注：</w:t>
                      </w:r>
                      <w:r>
                        <w:rPr>
                          <w:rFonts w:hint="eastAsia"/>
                        </w:rPr>
                        <w:t>小五，宋体，Times New Roman。引用格式参照该格式。要将数据来源信息描述</w:t>
                      </w:r>
                    </w:p>
                    <w:p w14:paraId="363326E4">
                      <w:pPr>
                        <w:pStyle w:val="8"/>
                        <w:rPr>
                          <w:color w:val="FF0000"/>
                        </w:rPr>
                      </w:pPr>
                      <w:r>
                        <w:rPr>
                          <w:rFonts w:hint="eastAsia"/>
                        </w:rPr>
                        <w:t>详细。脚注要每页重新编码。</w:t>
                      </w:r>
                    </w:p>
                    <w:p w14:paraId="6367C0FB">
                      <w:pPr>
                        <w:pStyle w:val="8"/>
                      </w:pPr>
                    </w:p>
                  </w:txbxContent>
                </v:textbox>
              </v:shape>
            </w:pict>
          </mc:Fallback>
        </mc:AlternateContent>
      </w:r>
      <w:r>
        <w:rPr>
          <w:sz w:val="24"/>
          <w:szCs w:val="24"/>
        </w:rPr>
        <w:t>为推动农业保险发展，专家学者们开始农业指数类保险创新产品的研发。相比传统农业保险，农业指数保险产品在客观标准制定的前提下，具有较高的科学性和合理性水平，能很好地弥补我国传统农业保险的经营和管理难题，作为一种创新型保险产品，具有防范道德风险、抑制逆向选择、降低经营成本、提高信息透明度、提高保障</w:t>
      </w:r>
      <w:r>
        <w:rPr>
          <w:rFonts w:hint="eastAsia"/>
          <w:sz w:val="24"/>
          <w:szCs w:val="24"/>
        </w:rPr>
        <w:t>水平</w:t>
      </w:r>
      <w:r>
        <w:rPr>
          <w:sz w:val="24"/>
          <w:szCs w:val="24"/>
        </w:rPr>
        <w:t>、活跃流动性、易于再保险等突出的优势。因此，创新农业指数保险产品是解决当前农业保险固有难题的有效途径。</w:t>
      </w:r>
      <w:r>
        <w:rPr>
          <w:sz w:val="24"/>
        </w:rPr>
        <w:t>2007-201</w:t>
      </w:r>
      <w:r>
        <w:rPr>
          <w:rFonts w:hint="eastAsia"/>
          <w:sz w:val="24"/>
        </w:rPr>
        <w:t>7</w:t>
      </w:r>
      <w:r>
        <w:rPr>
          <w:sz w:val="24"/>
        </w:rPr>
        <w:t>年的中央一号文件分别涉及到科学建立和增加农业保险险种、提高农业保险的覆盖面和保障水平</w:t>
      </w:r>
      <w:r>
        <w:rPr>
          <w:rFonts w:hint="eastAsia"/>
          <w:sz w:val="24"/>
        </w:rPr>
        <w:t>、</w:t>
      </w:r>
      <w:r>
        <w:rPr>
          <w:sz w:val="24"/>
        </w:rPr>
        <w:t>创新农业保险开展形式</w:t>
      </w:r>
      <w:r>
        <w:rPr>
          <w:rFonts w:hint="eastAsia"/>
          <w:sz w:val="24"/>
        </w:rPr>
        <w:t>、探索重要农产</w:t>
      </w:r>
      <w:r>
        <mc:AlternateContent>
          <mc:Choice Requires="wps">
            <w:drawing>
              <wp:anchor distT="0" distB="0" distL="114300" distR="114300" simplePos="0" relativeHeight="251660288" behindDoc="0" locked="0" layoutInCell="1" allowOverlap="1">
                <wp:simplePos x="0" y="0"/>
                <wp:positionH relativeFrom="column">
                  <wp:posOffset>4519930</wp:posOffset>
                </wp:positionH>
                <wp:positionV relativeFrom="paragraph">
                  <wp:posOffset>-643255</wp:posOffset>
                </wp:positionV>
                <wp:extent cx="1546860" cy="436245"/>
                <wp:effectExtent l="723900" t="0" r="15240" b="20955"/>
                <wp:wrapNone/>
                <wp:docPr id="20" name="AutoShape 5"/>
                <wp:cNvGraphicFramePr/>
                <a:graphic xmlns:a="http://schemas.openxmlformats.org/drawingml/2006/main">
                  <a:graphicData uri="http://schemas.microsoft.com/office/word/2010/wordprocessingShape">
                    <wps:wsp>
                      <wps:cNvSpPr>
                        <a:spLocks noChangeArrowheads="1"/>
                      </wps:cNvSpPr>
                      <wps:spPr bwMode="auto">
                        <a:xfrm>
                          <a:off x="0" y="0"/>
                          <a:ext cx="1546860" cy="436245"/>
                        </a:xfrm>
                        <a:prstGeom prst="wedgeRoundRectCallout">
                          <a:avLst>
                            <a:gd name="adj1" fmla="val -93370"/>
                            <a:gd name="adj2" fmla="val 40037"/>
                            <a:gd name="adj3" fmla="val 16667"/>
                          </a:avLst>
                        </a:prstGeom>
                        <a:solidFill>
                          <a:srgbClr val="00FFFF"/>
                        </a:solidFill>
                        <a:ln w="9525">
                          <a:solidFill>
                            <a:srgbClr val="000000"/>
                          </a:solidFill>
                          <a:miter lim="800000"/>
                        </a:ln>
                        <a:effectLst/>
                      </wps:spPr>
                      <wps:txbx>
                        <w:txbxContent>
                          <w:p w14:paraId="0023E366">
                            <w:pPr>
                              <w:rPr>
                                <w:color w:val="FF0000"/>
                              </w:rPr>
                            </w:pPr>
                            <w:r>
                              <w:rPr>
                                <w:rFonts w:hint="eastAsia"/>
                              </w:rPr>
                              <w:t>偶页页眉为论文题目，不要加姓名，五号，宋体</w:t>
                            </w:r>
                          </w:p>
                          <w:p w14:paraId="7BD774E0">
                            <w:r>
                              <w:rPr>
                                <w:rFonts w:hint="eastAsia"/>
                              </w:rPr>
                              <w:t>。</w:t>
                            </w:r>
                          </w:p>
                          <w:p w14:paraId="13ABB7C1">
                            <w:pPr>
                              <w:pStyle w:val="8"/>
                            </w:pPr>
                          </w:p>
                        </w:txbxContent>
                      </wps:txbx>
                      <wps:bodyPr rot="0" vert="horz" wrap="square" lIns="0" tIns="0" rIns="0" bIns="0" anchor="t" anchorCtr="0" upright="1">
                        <a:noAutofit/>
                      </wps:bodyPr>
                    </wps:wsp>
                  </a:graphicData>
                </a:graphic>
              </wp:anchor>
            </w:drawing>
          </mc:Choice>
          <mc:Fallback>
            <w:pict>
              <v:shape id="AutoShape 5" o:spid="_x0000_s1026" o:spt="62" type="#_x0000_t62" style="position:absolute;left:0pt;margin-left:355.9pt;margin-top:-50.65pt;height:34.35pt;width:121.8pt;z-index:251660288;mso-width-relative:page;mso-height-relative:page;" fillcolor="#00FFFF" filled="t" stroked="t" coordsize="21600,21600" o:gfxdata="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99+lidkAAAAMAQAADwAAAAAAAAABACAAAAAiAAAAZHJzL2Rvd25yZXYueG1sUEsB&#10;AhQAFAAAAAgAh07iQKBH4AlmAgAAAwUAAA4AAAAAAAAAAQAgAAAAKAEAAGRycy9lMm9Eb2MueG1s&#10;UEsFBgAAAAAGAAYAWQEAAAAGAAAAAA==&#10;" adj="-9368,19448,14400">
                <v:fill on="t" focussize="0,0"/>
                <v:stroke color="#000000" miterlimit="8" joinstyle="miter"/>
                <v:imagedata o:title=""/>
                <o:lock v:ext="edit" aspectratio="f"/>
                <v:textbox inset="0mm,0mm,0mm,0mm">
                  <w:txbxContent>
                    <w:p w14:paraId="0023E366">
                      <w:pPr>
                        <w:rPr>
                          <w:color w:val="FF0000"/>
                        </w:rPr>
                      </w:pPr>
                      <w:r>
                        <w:rPr>
                          <w:rFonts w:hint="eastAsia"/>
                        </w:rPr>
                        <w:t>偶页页眉为论文题目，不要加姓名，五号，宋体</w:t>
                      </w:r>
                    </w:p>
                    <w:p w14:paraId="7BD774E0">
                      <w:r>
                        <w:rPr>
                          <w:rFonts w:hint="eastAsia"/>
                        </w:rPr>
                        <w:t>。</w:t>
                      </w:r>
                    </w:p>
                    <w:p w14:paraId="13ABB7C1">
                      <w:pPr>
                        <w:pStyle w:val="8"/>
                      </w:pPr>
                    </w:p>
                  </w:txbxContent>
                </v:textbox>
              </v:shape>
            </w:pict>
          </mc:Fallback>
        </mc:AlternateContent>
      </w:r>
      <w:r>
        <w:rPr>
          <w:rFonts w:hint="eastAsia"/>
          <w:sz w:val="24"/>
        </w:rPr>
        <w:t>品天气指数保险试点，探索建立农产品收入保险制度</w:t>
      </w:r>
      <w:r>
        <w:rPr>
          <w:sz w:val="24"/>
        </w:rPr>
        <w:t>等内容。</w:t>
      </w:r>
      <w:r>
        <w:rPr>
          <w:sz w:val="24"/>
          <w:szCs w:val="24"/>
        </w:rPr>
        <w:t>新型农业指数类保险创新产品的研发已经成为农业保险发展的</w:t>
      </w:r>
      <w:r>
        <w:rPr>
          <w:rFonts w:hint="eastAsia"/>
          <w:sz w:val="24"/>
          <w:szCs w:val="24"/>
        </w:rPr>
        <w:t>重大课题</w:t>
      </w:r>
      <w:r>
        <w:rPr>
          <w:sz w:val="24"/>
          <w:szCs w:val="24"/>
        </w:rPr>
        <w:t>。</w:t>
      </w:r>
    </w:p>
    <w:p w14:paraId="0BD3E862">
      <w:pPr>
        <w:snapToGrid w:val="0"/>
        <w:spacing w:line="360" w:lineRule="auto"/>
        <w:ind w:firstLine="480" w:firstLineChars="200"/>
        <w:rPr>
          <w:sz w:val="24"/>
          <w:szCs w:val="24"/>
        </w:rPr>
      </w:pPr>
      <w:r>
        <w:rPr>
          <w:sz w:val="24"/>
          <w:szCs w:val="24"/>
        </w:rPr>
        <w:t>2007年以来山东省农业保险得到迅速发展，2013年实现了全省136个县域的全覆盖，2016年实现保费收入18.09亿元，相比2007年的0.96亿元，增长了18.84倍，年均增速38.57%。</w:t>
      </w:r>
      <w:r>
        <w:rPr>
          <w:rFonts w:hint="eastAsia"/>
          <w:sz w:val="24"/>
          <w:szCs w:val="24"/>
        </w:rPr>
        <w:t>但是在山东省农业保险快速发展的同时，传统农业保险暴露出来的</w:t>
      </w:r>
      <w:r>
        <w:rPr>
          <w:rFonts w:hint="eastAsia" w:ascii="宋体" w:hAnsi="宋体" w:cs="宋体"/>
          <w:color w:val="000000"/>
          <w:kern w:val="0"/>
          <w:sz w:val="24"/>
        </w:rPr>
        <w:t>固有难题</w:t>
      </w:r>
      <w:r>
        <w:rPr>
          <w:rFonts w:hint="eastAsia"/>
          <w:sz w:val="24"/>
          <w:szCs w:val="24"/>
        </w:rPr>
        <w:t>格外突出，如</w:t>
      </w:r>
      <w:r>
        <w:rPr>
          <w:rFonts w:hint="eastAsia" w:ascii="宋体" w:hAnsi="宋体" w:cs="宋体"/>
          <w:color w:val="000000"/>
          <w:kern w:val="0"/>
          <w:sz w:val="24"/>
        </w:rPr>
        <w:t>气象灾害多，核损任务重</w:t>
      </w:r>
      <w:r>
        <w:rPr>
          <w:rFonts w:hint="eastAsia"/>
        </w:rPr>
        <w:t>、</w:t>
      </w:r>
      <w:r>
        <w:rPr>
          <w:rFonts w:hint="eastAsia" w:ascii="宋体" w:hAnsi="宋体" w:cs="宋体"/>
          <w:color w:val="000000"/>
          <w:kern w:val="0"/>
          <w:sz w:val="24"/>
        </w:rPr>
        <w:t>定损缺乏科学依据、各业务环节工作繁琐等，又如市场风险逐步突出、保险费率低、农户道德风险难以防范等，这些都影响着山东省农业保险的发展效率。与此同时，</w:t>
      </w:r>
      <w:r>
        <w:rPr>
          <w:rFonts w:hint="eastAsia"/>
          <w:sz w:val="24"/>
          <w:szCs w:val="24"/>
        </w:rPr>
        <w:t>伴随</w:t>
      </w:r>
      <w:r>
        <w:rPr>
          <w:sz w:val="24"/>
          <w:szCs w:val="24"/>
        </w:rPr>
        <w:t>着农业保险市场资源的充分覆盖，农业保险的市场竞争程度已明显加强，2015年山东省农业保险的市场竞争指数</w:t>
      </w:r>
      <w:r>
        <w:rPr>
          <w:rFonts w:hint="eastAsia"/>
          <w:sz w:val="24"/>
          <w:szCs w:val="24"/>
        </w:rPr>
        <w:t>（</w:t>
      </w:r>
      <w:r>
        <w:rPr>
          <w:sz w:val="24"/>
          <w:szCs w:val="24"/>
        </w:rPr>
        <w:t>HHI</w:t>
      </w:r>
      <w:r>
        <w:rPr>
          <w:rFonts w:hint="eastAsia"/>
          <w:sz w:val="24"/>
          <w:szCs w:val="24"/>
        </w:rPr>
        <w:t>）</w:t>
      </w:r>
      <w:r>
        <w:rPr>
          <w:sz w:val="24"/>
          <w:szCs w:val="24"/>
        </w:rPr>
        <w:t>已经达到</w:t>
      </w:r>
      <w:commentRangeStart w:id="14"/>
      <w:r>
        <w:rPr>
          <w:sz w:val="24"/>
          <w:szCs w:val="24"/>
        </w:rPr>
        <w:t>0.419</w:t>
      </w:r>
      <w:commentRangeEnd w:id="14"/>
      <w:r>
        <w:rPr>
          <w:rStyle w:val="33"/>
        </w:rPr>
        <w:commentReference w:id="14"/>
      </w:r>
      <w:r>
        <w:rPr>
          <w:rFonts w:hint="eastAsia"/>
          <w:sz w:val="24"/>
          <w:szCs w:val="24"/>
        </w:rPr>
        <w:t>。当前阶段</w:t>
      </w:r>
      <w:r>
        <w:rPr>
          <w:sz w:val="24"/>
          <w:szCs w:val="24"/>
        </w:rPr>
        <w:t>维持市场增速高峰期的关键点在于，如何通过扩大产品覆盖面和改善产品类型，</w:t>
      </w:r>
      <w:r>
        <w:rPr>
          <w:rFonts w:hint="eastAsia"/>
          <w:sz w:val="24"/>
          <w:szCs w:val="24"/>
        </w:rPr>
        <w:t>在</w:t>
      </w:r>
      <w:r>
        <w:rPr>
          <w:sz w:val="24"/>
          <w:szCs w:val="24"/>
        </w:rPr>
        <w:t>降低竞争成本</w:t>
      </w:r>
      <w:r>
        <w:rPr>
          <w:rFonts w:hint="eastAsia"/>
          <w:sz w:val="24"/>
          <w:szCs w:val="24"/>
        </w:rPr>
        <w:t>的同时</w:t>
      </w:r>
      <w:r>
        <w:rPr>
          <w:sz w:val="24"/>
          <w:szCs w:val="24"/>
        </w:rPr>
        <w:t>提高业务效率，而农业保险</w:t>
      </w:r>
      <w:r>
        <w:rPr>
          <w:rFonts w:hint="eastAsia"/>
          <w:sz w:val="24"/>
          <w:szCs w:val="24"/>
        </w:rPr>
        <w:t>指数类</w:t>
      </w:r>
      <w:r>
        <w:rPr>
          <w:sz w:val="24"/>
          <w:szCs w:val="24"/>
        </w:rPr>
        <w:t>产品</w:t>
      </w:r>
      <w:r>
        <w:rPr>
          <w:rFonts w:hint="eastAsia"/>
          <w:sz w:val="24"/>
          <w:szCs w:val="24"/>
        </w:rPr>
        <w:t>的研发</w:t>
      </w:r>
      <w:r>
        <w:rPr>
          <w:sz w:val="24"/>
          <w:szCs w:val="24"/>
        </w:rPr>
        <w:t>将发挥关键作用。</w:t>
      </w:r>
    </w:p>
    <w:p w14:paraId="577ADA27">
      <w:pPr>
        <w:snapToGrid w:val="0"/>
        <w:spacing w:line="360" w:lineRule="auto"/>
        <w:ind w:firstLine="480" w:firstLineChars="200"/>
        <w:rPr>
          <w:sz w:val="24"/>
          <w:szCs w:val="24"/>
        </w:rPr>
      </w:pPr>
      <w:r>
        <w:rPr>
          <w:sz w:val="24"/>
          <w:szCs w:val="24"/>
        </w:rPr>
        <w:t>玉米是山东省主要的粮食作物，2015年山东省玉米产量2051万吨，约占全国</w:t>
      </w:r>
      <w:r>
        <w:rPr>
          <w:rFonts w:hint="eastAsia"/>
          <w:sz w:val="24"/>
          <w:szCs w:val="24"/>
        </w:rPr>
        <w:t>玉米</w:t>
      </w:r>
      <w:r>
        <w:rPr>
          <w:sz w:val="24"/>
          <w:szCs w:val="24"/>
        </w:rPr>
        <w:t>总产量的9.13</w:t>
      </w:r>
      <w:r>
        <w:rPr>
          <w:rFonts w:hint="eastAsia"/>
          <w:sz w:val="24"/>
          <w:szCs w:val="24"/>
        </w:rPr>
        <w:t>%</w:t>
      </w:r>
      <w:r>
        <w:rPr>
          <w:rStyle w:val="34"/>
          <w:szCs w:val="24"/>
        </w:rPr>
        <w:footnoteReference w:id="1"/>
      </w:r>
      <w:r>
        <w:rPr>
          <w:sz w:val="24"/>
          <w:szCs w:val="24"/>
        </w:rPr>
        <w:t>。</w:t>
      </w:r>
      <w:r>
        <w:rPr>
          <w:rFonts w:hint="eastAsia"/>
          <w:sz w:val="24"/>
          <w:szCs w:val="24"/>
        </w:rPr>
        <w:t>与此同时，</w:t>
      </w:r>
      <w:r>
        <w:rPr>
          <w:sz w:val="24"/>
          <w:szCs w:val="24"/>
        </w:rPr>
        <w:t>山东省玉米农业保险发展迅速，</w:t>
      </w:r>
      <w:r>
        <w:rPr>
          <w:rFonts w:hint="eastAsia"/>
          <w:sz w:val="24"/>
          <w:szCs w:val="24"/>
        </w:rPr>
        <w:t>截止到</w:t>
      </w:r>
      <w:r>
        <w:rPr>
          <w:sz w:val="24"/>
          <w:szCs w:val="24"/>
        </w:rPr>
        <w:t>2015年，是</w:t>
      </w:r>
      <w:r>
        <w:rPr>
          <w:rFonts w:hint="eastAsia"/>
          <w:sz w:val="24"/>
          <w:szCs w:val="24"/>
        </w:rPr>
        <w:t>省内承保率</w:t>
      </w:r>
      <w:r>
        <w:rPr>
          <w:sz w:val="24"/>
          <w:szCs w:val="24"/>
        </w:rPr>
        <w:t>唯一突破80%的</w:t>
      </w:r>
      <w:r>
        <w:rPr>
          <w:rFonts w:hint="eastAsia"/>
          <w:sz w:val="24"/>
          <w:szCs w:val="24"/>
        </w:rPr>
        <w:t>农</w:t>
      </w:r>
      <w:r>
        <w:rPr>
          <w:sz w:val="24"/>
          <w:szCs w:val="24"/>
        </w:rPr>
        <w:t>作物。</w:t>
      </w:r>
      <w:r>
        <w:rPr>
          <w:rFonts w:hint="eastAsia"/>
          <w:sz w:val="24"/>
          <w:szCs w:val="24"/>
        </w:rPr>
        <w:t>但</w:t>
      </w:r>
      <w:r>
        <w:rPr>
          <w:sz w:val="24"/>
          <w:szCs w:val="24"/>
        </w:rPr>
        <w:t>相比其它农作物，玉米保险暴露的道德风险和逆向选择</w:t>
      </w:r>
      <w:r>
        <w:rPr>
          <w:rFonts w:hint="eastAsia"/>
          <w:sz w:val="24"/>
          <w:szCs w:val="24"/>
        </w:rPr>
        <w:t>问题</w:t>
      </w:r>
      <w:r>
        <w:rPr>
          <w:sz w:val="24"/>
          <w:szCs w:val="24"/>
        </w:rPr>
        <w:t>更加难以防范，骗保行为屡见不鲜，其相应的业务工作量繁琐，核损定损难的问题无法从根源解决</w:t>
      </w:r>
      <w:r>
        <w:rPr>
          <w:rFonts w:hint="eastAsia"/>
          <w:sz w:val="24"/>
          <w:szCs w:val="24"/>
        </w:rPr>
        <w:t>。此外，随着国家临储政策的改变，玉米的价格波动明显，严重影响着农户的生产积极性。因此就山东省来说，</w:t>
      </w:r>
      <w:r>
        <w:rPr>
          <w:sz w:val="24"/>
          <w:szCs w:val="24"/>
        </w:rPr>
        <w:t>农业保险产品的创新还应该以玉米等主粮作物为主要落脚点，这也与农业指数类保险产品的研发初衷是一致的。</w:t>
      </w:r>
    </w:p>
    <w:p w14:paraId="426572F9">
      <w:pPr>
        <w:snapToGrid w:val="0"/>
        <w:spacing w:line="360" w:lineRule="auto"/>
        <w:ind w:firstLine="480" w:firstLineChars="200"/>
        <w:rPr>
          <w:sz w:val="24"/>
        </w:rPr>
      </w:pPr>
      <w:r>
        <w:rPr>
          <w:sz w:val="24"/>
          <w:szCs w:val="24"/>
        </w:rPr>
        <w:t>基于上述背景，本研究在已有文献回顾的基础上</w:t>
      </w:r>
      <w:r>
        <w:rPr>
          <w:rFonts w:hint="eastAsia"/>
          <w:sz w:val="24"/>
          <w:szCs w:val="24"/>
        </w:rPr>
        <w:t>，首先对</w:t>
      </w:r>
      <w:r>
        <w:rPr>
          <w:sz w:val="24"/>
          <w:szCs w:val="24"/>
        </w:rPr>
        <w:t>气象、产量、收入三类指数保险产品</w:t>
      </w:r>
      <w:r>
        <w:rPr>
          <w:rFonts w:hint="eastAsia"/>
          <w:sz w:val="24"/>
          <w:szCs w:val="24"/>
        </w:rPr>
        <w:t>的已有研究</w:t>
      </w:r>
      <w:r>
        <w:rPr>
          <w:sz w:val="24"/>
          <w:szCs w:val="24"/>
        </w:rPr>
        <w:t>与试点</w:t>
      </w:r>
      <w:r>
        <w:rPr>
          <w:rFonts w:hint="eastAsia"/>
          <w:sz w:val="24"/>
          <w:szCs w:val="24"/>
        </w:rPr>
        <w:t>进行</w:t>
      </w:r>
      <w:r>
        <w:rPr>
          <w:sz w:val="24"/>
          <w:szCs w:val="24"/>
        </w:rPr>
        <w:t>系统分析</w:t>
      </w:r>
      <w:r>
        <w:rPr>
          <w:rFonts w:hint="eastAsia"/>
          <w:sz w:val="24"/>
          <w:szCs w:val="24"/>
        </w:rPr>
        <w:t>。然后</w:t>
      </w:r>
      <w:r>
        <w:rPr>
          <w:sz w:val="24"/>
          <w:szCs w:val="24"/>
        </w:rPr>
        <w:t>以此为理论基础，</w:t>
      </w:r>
      <w:r>
        <w:rPr>
          <w:rFonts w:hint="eastAsia"/>
          <w:sz w:val="24"/>
          <w:szCs w:val="24"/>
        </w:rPr>
        <w:t>分别研究</w:t>
      </w:r>
      <w:r>
        <w:rPr>
          <w:sz w:val="24"/>
          <w:szCs w:val="24"/>
        </w:rPr>
        <w:t>基于风险区划的玉米产量指数保险产品、</w:t>
      </w:r>
      <w:r>
        <w:rPr>
          <w:rFonts w:hint="eastAsia"/>
          <w:sz w:val="24"/>
          <w:szCs w:val="24"/>
        </w:rPr>
        <w:t>基于共生性因子的</w:t>
      </w:r>
      <w:r>
        <w:rPr>
          <w:sz w:val="24"/>
          <w:szCs w:val="24"/>
        </w:rPr>
        <w:t>玉米风雨倒伏气象指数保险产品、基于</w:t>
      </w:r>
      <w:r>
        <w:rPr>
          <w:color w:val="000000"/>
          <w:sz w:val="24"/>
          <w:szCs w:val="24"/>
        </w:rPr>
        <w:t>Census</w:t>
      </w:r>
      <w:r>
        <w:rPr>
          <w:sz w:val="24"/>
          <w:szCs w:val="24"/>
        </w:rPr>
        <w:t>-ARIMA的玉米收入指数保险产品三个类型</w:t>
      </w:r>
      <w:r>
        <w:rPr>
          <w:rFonts w:hint="eastAsia"/>
          <w:sz w:val="24"/>
          <w:szCs w:val="24"/>
        </w:rPr>
        <w:t>的</w:t>
      </w:r>
      <w:r>
        <w:rPr>
          <w:sz w:val="24"/>
          <w:szCs w:val="24"/>
        </w:rPr>
        <w:t>指数保险产品。</w:t>
      </w:r>
      <w:r>
        <w:rPr>
          <w:rFonts w:hint="eastAsia"/>
          <w:sz w:val="24"/>
          <w:szCs w:val="24"/>
        </w:rPr>
        <w:t>最后</w:t>
      </w:r>
      <w:r>
        <w:rPr>
          <w:sz w:val="24"/>
          <w:szCs w:val="24"/>
        </w:rPr>
        <w:t>通过比较各指数保险产品的科学特点，结合山东省各地市玉米的客观受灾风险特征，进行了玉米指数类保险产品在各地市</w:t>
      </w:r>
      <w:r>
        <w:rPr>
          <w:rFonts w:hint="eastAsia"/>
          <w:sz w:val="24"/>
          <w:szCs w:val="24"/>
        </w:rPr>
        <w:t>间</w:t>
      </w:r>
      <w:r>
        <w:rPr>
          <w:sz w:val="24"/>
          <w:szCs w:val="24"/>
        </w:rPr>
        <w:t>的适宜性选择探究。</w:t>
      </w:r>
      <w:r>
        <w:rPr>
          <w:rFonts w:hint="eastAsia"/>
          <w:sz w:val="24"/>
          <w:szCs w:val="24"/>
        </w:rPr>
        <w:t>通过系统的理论分析、产品设计及产品适宜性选取机制的研究，</w:t>
      </w:r>
      <w:r>
        <w:rPr>
          <w:sz w:val="24"/>
        </w:rPr>
        <w:t>以期完善当前农业指数类保险产品的设计</w:t>
      </w:r>
      <w:r>
        <w:rPr>
          <w:rFonts w:hint="eastAsia"/>
          <w:sz w:val="24"/>
        </w:rPr>
        <w:t>和开展</w:t>
      </w:r>
      <w:r>
        <w:rPr>
          <w:sz w:val="24"/>
        </w:rPr>
        <w:t>模式，提高当前农业指数类保险产品的科学程度。</w:t>
      </w:r>
    </w:p>
    <w:p w14:paraId="48F88FE0">
      <w:pPr>
        <w:snapToGrid w:val="0"/>
        <w:spacing w:line="360" w:lineRule="auto"/>
        <w:ind w:firstLine="480" w:firstLineChars="200"/>
        <w:rPr>
          <w:sz w:val="24"/>
        </w:rPr>
      </w:pPr>
    </w:p>
    <w:p w14:paraId="02B460EA">
      <w:pPr>
        <w:snapToGrid w:val="0"/>
        <w:spacing w:line="360" w:lineRule="auto"/>
        <w:ind w:firstLine="480" w:firstLineChars="200"/>
        <w:rPr>
          <w:sz w:val="24"/>
        </w:rPr>
      </w:pPr>
    </w:p>
    <w:p w14:paraId="5CF6B0FF">
      <w:pPr>
        <w:pStyle w:val="2"/>
      </w:pPr>
      <w:bookmarkStart w:id="9" w:name="_Toc487301943"/>
      <w:commentRangeStart w:id="15"/>
      <w:r>
        <w:rPr>
          <w:rFonts w:hint="eastAsia"/>
        </w:rPr>
        <w:t>2农业</w:t>
      </w:r>
      <w:r>
        <w:t>指数类保险产品</w:t>
      </w:r>
      <w:r>
        <w:rPr>
          <w:rFonts w:hint="eastAsia"/>
        </w:rPr>
        <w:t>研究</w:t>
      </w:r>
      <w:r>
        <w:t>的</w:t>
      </w:r>
      <w:r>
        <w:rPr>
          <w:rFonts w:hint="eastAsia"/>
        </w:rPr>
        <w:t>现状、特点与技术难题</w:t>
      </w:r>
      <w:commentRangeEnd w:id="15"/>
      <w:r>
        <w:rPr>
          <w:rStyle w:val="33"/>
          <w:rFonts w:eastAsia="宋体"/>
          <w:bCs w:val="0"/>
          <w:kern w:val="2"/>
        </w:rPr>
        <w:commentReference w:id="15"/>
      </w:r>
      <w:bookmarkEnd w:id="9"/>
    </w:p>
    <w:p w14:paraId="7F5E68F9">
      <w:pPr>
        <w:snapToGrid w:val="0"/>
        <w:spacing w:line="360" w:lineRule="auto"/>
        <w:ind w:firstLine="480" w:firstLineChars="200"/>
        <w:rPr>
          <w:sz w:val="24"/>
        </w:rPr>
      </w:pPr>
      <w:r>
        <w:rPr>
          <w:sz w:val="24"/>
        </w:rPr>
        <w:t>我国现行</w:t>
      </w:r>
      <w:r>
        <w:rPr>
          <w:rFonts w:hint="eastAsia"/>
          <w:sz w:val="24"/>
        </w:rPr>
        <w:t>农业</w:t>
      </w:r>
      <w:r>
        <w:rPr>
          <w:sz w:val="24"/>
        </w:rPr>
        <w:t>指数类保险产品的</w:t>
      </w:r>
      <w:r>
        <w:rPr>
          <w:rFonts w:hint="eastAsia"/>
          <w:sz w:val="24"/>
          <w:szCs w:val="24"/>
        </w:rPr>
        <w:t>研究</w:t>
      </w:r>
      <w:r>
        <w:rPr>
          <w:rFonts w:hint="eastAsia"/>
          <w:sz w:val="24"/>
        </w:rPr>
        <w:t>包括</w:t>
      </w:r>
      <w:r>
        <w:rPr>
          <w:sz w:val="24"/>
        </w:rPr>
        <w:t>气象指数保险、产量</w:t>
      </w:r>
      <w:r>
        <w:rPr>
          <w:rFonts w:hint="eastAsia"/>
          <w:sz w:val="24"/>
        </w:rPr>
        <w:t>指数</w:t>
      </w:r>
      <w:r>
        <w:rPr>
          <w:sz w:val="24"/>
        </w:rPr>
        <w:t>保险、收入指数保险三个</w:t>
      </w:r>
      <w:r>
        <w:rPr>
          <w:rFonts w:hint="eastAsia"/>
          <w:sz w:val="24"/>
        </w:rPr>
        <w:t>类型</w:t>
      </w:r>
      <w:r>
        <w:rPr>
          <w:sz w:val="24"/>
        </w:rPr>
        <w:t>，但</w:t>
      </w:r>
      <w:r>
        <w:rPr>
          <w:rFonts w:hint="eastAsia"/>
          <w:sz w:val="24"/>
        </w:rPr>
        <w:t>各产品</w:t>
      </w:r>
      <w:r>
        <w:rPr>
          <w:rFonts w:hint="eastAsia"/>
          <w:sz w:val="24"/>
          <w:szCs w:val="24"/>
        </w:rPr>
        <w:t>研究</w:t>
      </w:r>
      <w:r>
        <w:rPr>
          <w:rFonts w:hint="eastAsia"/>
          <w:sz w:val="24"/>
        </w:rPr>
        <w:t>之间的</w:t>
      </w:r>
      <w:r>
        <w:rPr>
          <w:sz w:val="24"/>
        </w:rPr>
        <w:t>差异较大。目前，数量最多的产品</w:t>
      </w:r>
      <w:r>
        <w:rPr>
          <w:rFonts w:hint="eastAsia"/>
          <w:sz w:val="24"/>
          <w:szCs w:val="24"/>
        </w:rPr>
        <w:t>研究</w:t>
      </w:r>
      <w:r>
        <w:rPr>
          <w:sz w:val="24"/>
        </w:rPr>
        <w:t>为气象指数保险，在全国具有40多项，涉及20个省</w:t>
      </w:r>
      <w:r>
        <w:rPr>
          <w:rFonts w:hint="eastAsia"/>
          <w:sz w:val="24"/>
        </w:rPr>
        <w:t>；</w:t>
      </w:r>
      <w:r>
        <w:rPr>
          <w:sz w:val="24"/>
        </w:rPr>
        <w:t>其次为产量指数保险，在全国大约20项，涉及12个省</w:t>
      </w:r>
      <w:r>
        <w:rPr>
          <w:rFonts w:hint="eastAsia"/>
          <w:sz w:val="24"/>
        </w:rPr>
        <w:t>；而</w:t>
      </w:r>
      <w:r>
        <w:rPr>
          <w:sz w:val="24"/>
        </w:rPr>
        <w:t>收入指数保险产品</w:t>
      </w:r>
      <w:r>
        <w:rPr>
          <w:rFonts w:hint="eastAsia"/>
          <w:sz w:val="24"/>
        </w:rPr>
        <w:t>在全国</w:t>
      </w:r>
      <w:r>
        <w:rPr>
          <w:sz w:val="24"/>
        </w:rPr>
        <w:t>只有4项</w:t>
      </w:r>
      <w:r>
        <w:rPr>
          <w:rFonts w:hint="eastAsia"/>
          <w:sz w:val="24"/>
        </w:rPr>
        <w:t>成果</w:t>
      </w:r>
      <w:r>
        <w:rPr>
          <w:sz w:val="24"/>
        </w:rPr>
        <w:t>，</w:t>
      </w:r>
      <w:r>
        <w:rPr>
          <w:rFonts w:hint="eastAsia"/>
          <w:sz w:val="24"/>
        </w:rPr>
        <w:t>分别</w:t>
      </w:r>
      <w:r>
        <w:rPr>
          <w:sz w:val="24"/>
        </w:rPr>
        <w:t>涉及4个</w:t>
      </w:r>
      <w:r>
        <w:rPr>
          <w:rFonts w:hint="eastAsia"/>
          <w:sz w:val="24"/>
        </w:rPr>
        <w:t>省</w:t>
      </w:r>
      <w:r>
        <w:rPr>
          <w:rStyle w:val="34"/>
          <w:sz w:val="24"/>
        </w:rPr>
        <w:footnoteReference w:id="2"/>
      </w:r>
      <w:r>
        <w:rPr>
          <w:sz w:val="24"/>
        </w:rPr>
        <w:t>。总结三类农业指数保险产品</w:t>
      </w:r>
      <w:r>
        <w:rPr>
          <w:rFonts w:hint="eastAsia"/>
          <w:sz w:val="24"/>
          <w:szCs w:val="24"/>
        </w:rPr>
        <w:t>研究</w:t>
      </w:r>
      <w:r>
        <w:rPr>
          <w:sz w:val="24"/>
        </w:rPr>
        <w:t>的现状为：气象指数保险产品</w:t>
      </w:r>
      <w:r>
        <w:rPr>
          <w:rFonts w:hint="eastAsia"/>
          <w:sz w:val="24"/>
        </w:rPr>
        <w:t>的</w:t>
      </w:r>
      <w:r>
        <w:rPr>
          <w:rFonts w:hint="eastAsia"/>
          <w:sz w:val="24"/>
          <w:szCs w:val="24"/>
        </w:rPr>
        <w:t>研究</w:t>
      </w:r>
      <w:r>
        <w:rPr>
          <w:sz w:val="24"/>
        </w:rPr>
        <w:t>已比较成熟</w:t>
      </w:r>
      <w:r>
        <w:rPr>
          <w:rFonts w:hint="eastAsia"/>
          <w:sz w:val="24"/>
        </w:rPr>
        <w:t>，</w:t>
      </w:r>
      <w:r>
        <w:rPr>
          <w:sz w:val="24"/>
        </w:rPr>
        <w:t>在关键环节的方法选取上也具有多样性。产量指数保险产品</w:t>
      </w:r>
      <w:r>
        <w:rPr>
          <w:rFonts w:hint="eastAsia"/>
          <w:sz w:val="24"/>
        </w:rPr>
        <w:t>的</w:t>
      </w:r>
      <w:r>
        <w:rPr>
          <w:rFonts w:hint="eastAsia"/>
          <w:sz w:val="24"/>
          <w:szCs w:val="24"/>
        </w:rPr>
        <w:t>研究</w:t>
      </w:r>
      <w:r>
        <w:rPr>
          <w:sz w:val="24"/>
        </w:rPr>
        <w:t>较为统一</w:t>
      </w:r>
      <w:r>
        <w:rPr>
          <w:rFonts w:hint="eastAsia"/>
          <w:sz w:val="24"/>
        </w:rPr>
        <w:t>，但</w:t>
      </w:r>
      <w:r>
        <w:rPr>
          <w:sz w:val="24"/>
        </w:rPr>
        <w:t>在设计方法思路</w:t>
      </w:r>
      <w:r>
        <w:rPr>
          <w:rFonts w:hint="eastAsia"/>
          <w:sz w:val="24"/>
        </w:rPr>
        <w:t>上</w:t>
      </w:r>
      <w:r>
        <w:rPr>
          <w:sz w:val="24"/>
        </w:rPr>
        <w:t>缺乏</w:t>
      </w:r>
      <w:r>
        <w:rPr>
          <w:rFonts w:hint="eastAsia"/>
          <w:sz w:val="24"/>
        </w:rPr>
        <w:t>创新性</w:t>
      </w:r>
      <w:r>
        <w:rPr>
          <w:sz w:val="24"/>
        </w:rPr>
        <w:t>变换</w:t>
      </w:r>
      <w:r>
        <w:rPr>
          <w:rFonts w:hint="eastAsia"/>
          <w:sz w:val="24"/>
        </w:rPr>
        <w:t>。</w:t>
      </w:r>
      <w:r>
        <w:rPr>
          <w:sz w:val="24"/>
        </w:rPr>
        <w:t>收入指数保险产品</w:t>
      </w:r>
      <w:r>
        <w:rPr>
          <w:rFonts w:hint="eastAsia"/>
          <w:sz w:val="24"/>
        </w:rPr>
        <w:t>的</w:t>
      </w:r>
      <w:r>
        <w:rPr>
          <w:rFonts w:hint="eastAsia"/>
          <w:sz w:val="24"/>
          <w:szCs w:val="24"/>
        </w:rPr>
        <w:t>研究</w:t>
      </w:r>
      <w:r>
        <w:rPr>
          <w:sz w:val="24"/>
        </w:rPr>
        <w:t>才刚刚起步</w:t>
      </w:r>
      <w:r>
        <w:rPr>
          <w:rFonts w:hint="eastAsia"/>
          <w:sz w:val="24"/>
        </w:rPr>
        <w:t>，</w:t>
      </w:r>
      <w:r>
        <w:rPr>
          <w:sz w:val="24"/>
        </w:rPr>
        <w:t>采用的方法模式</w:t>
      </w:r>
      <w:r>
        <w:rPr>
          <w:rFonts w:hint="eastAsia"/>
          <w:sz w:val="24"/>
        </w:rPr>
        <w:t>非常</w:t>
      </w:r>
      <w:r>
        <w:rPr>
          <w:sz w:val="24"/>
        </w:rPr>
        <w:t>单一。</w:t>
      </w:r>
      <w:r>
        <w:rPr>
          <w:rFonts w:hint="eastAsia"/>
          <w:sz w:val="24"/>
        </w:rPr>
        <w:t>同时</w:t>
      </w:r>
      <w:r>
        <w:rPr>
          <w:sz w:val="24"/>
        </w:rPr>
        <w:t>不可否认的是，每一类</w:t>
      </w:r>
      <w:r>
        <w:rPr>
          <w:rFonts w:hint="eastAsia"/>
          <w:sz w:val="24"/>
        </w:rPr>
        <w:t>指数</w:t>
      </w:r>
      <w:r>
        <w:rPr>
          <w:sz w:val="24"/>
        </w:rPr>
        <w:t>保险产品均存在</w:t>
      </w:r>
      <w:r>
        <w:rPr>
          <w:rFonts w:hint="eastAsia"/>
          <w:sz w:val="24"/>
        </w:rPr>
        <w:t>相应的</w:t>
      </w:r>
      <w:r>
        <w:rPr>
          <w:sz w:val="24"/>
        </w:rPr>
        <w:t>设计缺陷与技术难题。</w:t>
      </w:r>
    </w:p>
    <w:p w14:paraId="40BED6EF">
      <w:pPr>
        <w:snapToGrid w:val="0"/>
        <w:spacing w:line="360" w:lineRule="auto"/>
        <w:ind w:firstLine="480" w:firstLineChars="200"/>
        <w:rPr>
          <w:sz w:val="24"/>
        </w:rPr>
      </w:pPr>
      <w:r>
        <w:rPr>
          <w:sz w:val="24"/>
        </w:rPr>
        <w:t>本章的主要工作是对气象指数保险产品和产量指数保险产品</w:t>
      </w:r>
      <w:r>
        <w:rPr>
          <w:rFonts w:hint="eastAsia"/>
          <w:sz w:val="24"/>
          <w:szCs w:val="24"/>
        </w:rPr>
        <w:t>研究</w:t>
      </w:r>
      <w:r>
        <w:rPr>
          <w:sz w:val="24"/>
        </w:rPr>
        <w:t>的</w:t>
      </w:r>
      <w:r>
        <w:rPr>
          <w:rFonts w:hint="eastAsia"/>
          <w:sz w:val="24"/>
        </w:rPr>
        <w:t>特点与技术难题进行分析</w:t>
      </w:r>
      <w:r>
        <w:rPr>
          <w:sz w:val="24"/>
        </w:rPr>
        <w:t>。另外，因当前收入指数保险产品的</w:t>
      </w:r>
      <w:r>
        <w:rPr>
          <w:rFonts w:hint="eastAsia"/>
          <w:sz w:val="24"/>
          <w:szCs w:val="24"/>
        </w:rPr>
        <w:t>研究</w:t>
      </w:r>
      <w:r>
        <w:rPr>
          <w:rFonts w:hint="eastAsia"/>
          <w:sz w:val="24"/>
        </w:rPr>
        <w:t>尚处于起步阶段</w:t>
      </w:r>
      <w:r>
        <w:rPr>
          <w:sz w:val="24"/>
        </w:rPr>
        <w:t>，本章</w:t>
      </w:r>
      <w:r>
        <w:rPr>
          <w:rFonts w:hint="eastAsia"/>
          <w:sz w:val="24"/>
        </w:rPr>
        <w:t>主要对</w:t>
      </w:r>
      <w:r>
        <w:rPr>
          <w:sz w:val="24"/>
        </w:rPr>
        <w:t>收入指数保险产品的开展必要性</w:t>
      </w:r>
      <w:r>
        <w:rPr>
          <w:rFonts w:hint="eastAsia"/>
          <w:sz w:val="24"/>
        </w:rPr>
        <w:t>以及产品</w:t>
      </w:r>
      <w:r>
        <w:rPr>
          <w:rFonts w:hint="eastAsia"/>
          <w:sz w:val="24"/>
          <w:szCs w:val="24"/>
        </w:rPr>
        <w:t>研究</w:t>
      </w:r>
      <w:r>
        <w:rPr>
          <w:sz w:val="24"/>
        </w:rPr>
        <w:t>思路</w:t>
      </w:r>
      <w:r>
        <w:rPr>
          <w:rFonts w:hint="eastAsia"/>
          <w:sz w:val="24"/>
        </w:rPr>
        <w:t>进行</w:t>
      </w:r>
      <w:r>
        <w:rPr>
          <w:sz w:val="24"/>
        </w:rPr>
        <w:t>分析。</w:t>
      </w:r>
      <w:r>
        <w:rPr>
          <w:sz w:val="24"/>
          <w:szCs w:val="24"/>
        </w:rPr>
        <w:t>通过对各指数保险产品</w:t>
      </w:r>
      <w:r>
        <w:rPr>
          <w:rFonts w:hint="eastAsia"/>
          <w:sz w:val="24"/>
          <w:szCs w:val="24"/>
        </w:rPr>
        <w:t>研究</w:t>
      </w:r>
      <w:r>
        <w:rPr>
          <w:sz w:val="24"/>
          <w:szCs w:val="24"/>
        </w:rPr>
        <w:t>的系统分析，为下一步产品</w:t>
      </w:r>
      <w:r>
        <w:rPr>
          <w:rFonts w:hint="eastAsia"/>
          <w:sz w:val="24"/>
          <w:szCs w:val="24"/>
        </w:rPr>
        <w:t>研究</w:t>
      </w:r>
      <w:r>
        <w:rPr>
          <w:sz w:val="24"/>
          <w:szCs w:val="24"/>
        </w:rPr>
        <w:t>设计的实证分析提供理论支撑。</w:t>
      </w:r>
    </w:p>
    <w:p w14:paraId="7448692F">
      <w:pPr>
        <w:pStyle w:val="3"/>
        <w:rPr>
          <w:rFonts w:ascii="Times New Roman" w:hAnsi="Times New Roman"/>
        </w:rPr>
      </w:pPr>
      <w:bookmarkStart w:id="10" w:name="_Toc487301944"/>
      <w:r>
        <w:rPr>
          <w:rFonts w:hint="eastAsia" w:ascii="Times New Roman" w:hAnsi="Times New Roman"/>
        </w:rPr>
        <w:t>2</w:t>
      </w:r>
      <w:r>
        <w:rPr>
          <w:rFonts w:ascii="Times New Roman" w:hAnsi="Times New Roman"/>
        </w:rPr>
        <w:t>.1气象指数保险产品</w:t>
      </w:r>
      <w:r>
        <w:rPr>
          <w:rFonts w:hint="eastAsia" w:ascii="Times New Roman" w:hAnsi="Times New Roman"/>
        </w:rPr>
        <w:t>研究</w:t>
      </w:r>
      <w:r>
        <w:rPr>
          <w:rFonts w:ascii="Times New Roman" w:hAnsi="Times New Roman"/>
        </w:rPr>
        <w:t>的</w:t>
      </w:r>
      <w:bookmarkEnd w:id="10"/>
      <w:r>
        <w:rPr>
          <w:rFonts w:hint="eastAsia" w:ascii="Times New Roman" w:hAnsi="Times New Roman"/>
        </w:rPr>
        <w:t>特点</w:t>
      </w:r>
    </w:p>
    <w:p w14:paraId="18F83287">
      <w:pPr>
        <w:snapToGrid w:val="0"/>
        <w:spacing w:line="360" w:lineRule="auto"/>
        <w:ind w:firstLine="480" w:firstLineChars="200"/>
        <w:rPr>
          <w:sz w:val="24"/>
          <w:szCs w:val="24"/>
        </w:rPr>
      </w:pPr>
      <w:r>
        <w:rPr>
          <w:rFonts w:hint="eastAsia"/>
          <w:sz w:val="24"/>
          <w:szCs w:val="24"/>
        </w:rPr>
        <w:t>该部分</w:t>
      </w:r>
      <w:r>
        <w:rPr>
          <w:sz w:val="24"/>
          <w:szCs w:val="24"/>
        </w:rPr>
        <w:t>，</w:t>
      </w:r>
      <w:r>
        <w:rPr>
          <w:rFonts w:hint="eastAsia"/>
          <w:sz w:val="24"/>
          <w:szCs w:val="24"/>
        </w:rPr>
        <w:t>概述已有的气象指数保险产品研究，对已有的产品研究进行特点总结，</w:t>
      </w:r>
      <w:r>
        <w:rPr>
          <w:sz w:val="24"/>
          <w:szCs w:val="24"/>
        </w:rPr>
        <w:t>在了解产品科学性的前提下，</w:t>
      </w:r>
      <w:r>
        <w:rPr>
          <w:rFonts w:hint="eastAsia"/>
          <w:sz w:val="24"/>
          <w:szCs w:val="24"/>
        </w:rPr>
        <w:t>对产品研究过程中存在的技术难题进行总结</w:t>
      </w:r>
      <w:r>
        <w:rPr>
          <w:sz w:val="24"/>
          <w:szCs w:val="24"/>
        </w:rPr>
        <w:t>，为本</w:t>
      </w:r>
      <w:r>
        <w:rPr>
          <w:rFonts w:hint="eastAsia"/>
          <w:sz w:val="24"/>
          <w:szCs w:val="24"/>
        </w:rPr>
        <w:t>研究</w:t>
      </w:r>
      <w:r>
        <w:rPr>
          <w:sz w:val="24"/>
          <w:szCs w:val="24"/>
        </w:rPr>
        <w:t>下一步的产品</w:t>
      </w:r>
      <w:r>
        <w:rPr>
          <w:rFonts w:hint="eastAsia"/>
          <w:sz w:val="24"/>
          <w:szCs w:val="24"/>
        </w:rPr>
        <w:t>研究</w:t>
      </w:r>
      <w:r>
        <w:rPr>
          <w:sz w:val="24"/>
          <w:szCs w:val="24"/>
        </w:rPr>
        <w:t>设计研究提供理论支撑。</w:t>
      </w:r>
    </w:p>
    <w:p w14:paraId="04B721AA">
      <w:pPr>
        <w:snapToGrid w:val="0"/>
        <w:spacing w:line="360" w:lineRule="auto"/>
        <w:ind w:firstLine="480" w:firstLineChars="200"/>
        <w:rPr>
          <w:sz w:val="24"/>
        </w:rPr>
      </w:pPr>
    </w:p>
    <w:p w14:paraId="00932837">
      <w:pPr>
        <w:snapToGrid w:val="0"/>
        <w:spacing w:line="360" w:lineRule="auto"/>
        <w:ind w:firstLine="470" w:firstLineChars="196"/>
        <w:rPr>
          <w:sz w:val="24"/>
        </w:rPr>
      </w:pPr>
    </w:p>
    <w:p w14:paraId="287A74F6">
      <w:pPr>
        <w:snapToGrid w:val="0"/>
        <w:spacing w:line="360" w:lineRule="auto"/>
        <w:ind w:firstLine="470" w:firstLineChars="196"/>
        <w:rPr>
          <w:sz w:val="24"/>
        </w:rPr>
      </w:pPr>
    </w:p>
    <w:p w14:paraId="7CE5D6EF">
      <w:pPr>
        <w:snapToGrid w:val="0"/>
        <w:spacing w:line="360" w:lineRule="auto"/>
        <w:ind w:firstLine="470" w:firstLineChars="196"/>
        <w:rPr>
          <w:sz w:val="24"/>
        </w:rPr>
      </w:pPr>
    </w:p>
    <w:p w14:paraId="187384CD">
      <w:pPr>
        <w:snapToGrid w:val="0"/>
        <w:spacing w:line="360" w:lineRule="auto"/>
        <w:ind w:firstLine="470" w:firstLineChars="196"/>
        <w:rPr>
          <w:sz w:val="24"/>
        </w:rPr>
      </w:pPr>
    </w:p>
    <w:p w14:paraId="22BA72FB">
      <w:pPr>
        <w:snapToGrid w:val="0"/>
        <w:spacing w:line="360" w:lineRule="auto"/>
        <w:ind w:firstLine="470" w:firstLineChars="196"/>
        <w:rPr>
          <w:sz w:val="24"/>
        </w:rPr>
      </w:pPr>
    </w:p>
    <w:p w14:paraId="65D9DE19">
      <w:pPr>
        <w:snapToGrid w:val="0"/>
        <w:spacing w:line="360" w:lineRule="auto"/>
        <w:ind w:firstLine="470" w:firstLineChars="196"/>
        <w:rPr>
          <w:sz w:val="24"/>
        </w:rPr>
      </w:pPr>
    </w:p>
    <w:p w14:paraId="722A59E4">
      <w:pPr>
        <w:snapToGrid w:val="0"/>
        <w:spacing w:line="360" w:lineRule="auto"/>
        <w:ind w:firstLine="470" w:firstLineChars="196"/>
        <w:rPr>
          <w:sz w:val="24"/>
        </w:rPr>
      </w:pPr>
    </w:p>
    <w:p w14:paraId="5DC786D9">
      <w:pPr>
        <w:snapToGrid w:val="0"/>
        <w:spacing w:line="360" w:lineRule="auto"/>
        <w:ind w:firstLine="470" w:firstLineChars="196"/>
        <w:rPr>
          <w:sz w:val="24"/>
        </w:rPr>
      </w:pPr>
    </w:p>
    <w:p w14:paraId="4A8D18F5">
      <w:pPr>
        <w:snapToGrid w:val="0"/>
        <w:spacing w:line="360" w:lineRule="auto"/>
        <w:ind w:firstLine="470" w:firstLineChars="196"/>
        <w:rPr>
          <w:sz w:val="24"/>
        </w:rPr>
      </w:pPr>
    </w:p>
    <w:p w14:paraId="22035EF3">
      <w:pPr>
        <w:snapToGrid w:val="0"/>
        <w:spacing w:line="360" w:lineRule="auto"/>
        <w:ind w:firstLine="470" w:firstLineChars="196"/>
        <w:rPr>
          <w:sz w:val="24"/>
        </w:rPr>
      </w:pPr>
    </w:p>
    <w:p w14:paraId="765E51FD">
      <w:pPr>
        <w:snapToGrid w:val="0"/>
        <w:spacing w:line="360" w:lineRule="auto"/>
        <w:ind w:firstLine="470" w:firstLineChars="196"/>
        <w:rPr>
          <w:sz w:val="24"/>
        </w:rPr>
      </w:pPr>
    </w:p>
    <w:p w14:paraId="1B7C3C37">
      <w:pPr>
        <w:snapToGrid w:val="0"/>
        <w:spacing w:line="360" w:lineRule="auto"/>
        <w:ind w:firstLine="470" w:firstLineChars="196"/>
        <w:rPr>
          <w:sz w:val="24"/>
        </w:rPr>
      </w:pPr>
    </w:p>
    <w:p w14:paraId="081ED3A4">
      <w:pPr>
        <w:snapToGrid w:val="0"/>
        <w:spacing w:line="360" w:lineRule="auto"/>
        <w:ind w:firstLine="472" w:firstLineChars="196"/>
        <w:rPr>
          <w:b/>
          <w:bCs/>
          <w:sz w:val="24"/>
        </w:rPr>
      </w:pPr>
      <w:r>
        <w:rPr>
          <w:rFonts w:hint="eastAsia"/>
          <w:b/>
          <w:bCs/>
          <w:sz w:val="24"/>
          <w:highlight w:val="yellow"/>
        </w:rPr>
        <w:t>图、表、公式的相关格式要求：</w:t>
      </w:r>
    </w:p>
    <w:p w14:paraId="21A9DCE6">
      <w:pPr>
        <w:snapToGrid w:val="0"/>
        <w:spacing w:line="360" w:lineRule="auto"/>
        <w:ind w:firstLine="470" w:firstLineChars="196"/>
        <w:rPr>
          <w:sz w:val="24"/>
        </w:rPr>
      </w:pPr>
    </w:p>
    <w:p w14:paraId="0C8C1E60">
      <w:pPr>
        <w:snapToGrid w:val="0"/>
        <w:jc w:val="center"/>
        <w:rPr>
          <w:rFonts w:eastAsia="黑体"/>
        </w:rPr>
      </w:pPr>
    </w:p>
    <w:p w14:paraId="767612E7">
      <w:pPr>
        <w:snapToGrid w:val="0"/>
        <w:jc w:val="center"/>
        <w:rPr>
          <w:rFonts w:eastAsia="黑体"/>
        </w:rPr>
      </w:pPr>
    </w:p>
    <w:p w14:paraId="2AC01371">
      <w:pPr>
        <w:snapToGrid w:val="0"/>
        <w:jc w:val="center"/>
        <w:rPr>
          <w:rFonts w:eastAsia="黑体"/>
        </w:rPr>
      </w:pPr>
    </w:p>
    <w:p w14:paraId="25B6A2B4">
      <w:pPr>
        <w:snapToGrid w:val="0"/>
        <w:jc w:val="center"/>
        <w:rPr>
          <w:rFonts w:eastAsia="黑体"/>
        </w:rPr>
      </w:pPr>
    </w:p>
    <w:p w14:paraId="6A8CA642">
      <w:pPr>
        <w:snapToGrid w:val="0"/>
        <w:jc w:val="center"/>
        <w:rPr>
          <w:rFonts w:eastAsia="黑体"/>
        </w:rPr>
      </w:pPr>
    </w:p>
    <w:p w14:paraId="30D32E22">
      <w:pPr>
        <w:snapToGrid w:val="0"/>
        <w:jc w:val="center"/>
        <w:rPr>
          <w:rFonts w:eastAsia="黑体"/>
        </w:rPr>
      </w:pPr>
      <w:r>
        <w:rPr>
          <w:rFonts w:eastAsia="黑体"/>
        </w:rPr>
        <w:drawing>
          <wp:inline distT="0" distB="0" distL="0" distR="0">
            <wp:extent cx="5279390" cy="296735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Style w:val="33"/>
        </w:rPr>
        <w:commentReference w:id="16"/>
      </w:r>
    </w:p>
    <w:p w14:paraId="2B2A92E6">
      <w:pPr>
        <w:jc w:val="center"/>
        <w:rPr>
          <w:rFonts w:ascii="宋体" w:hAnsi="宋体"/>
        </w:rPr>
      </w:pPr>
      <w:commentRangeStart w:id="17"/>
      <w:r>
        <w:rPr>
          <w:rFonts w:hint="eastAsia" w:eastAsia="黑体"/>
        </w:rPr>
        <w:t>图5.1</w:t>
      </w:r>
      <w:r>
        <w:rPr>
          <w:rFonts w:hint="eastAsia" w:ascii="宋体" w:hAnsi="宋体"/>
        </w:rPr>
        <w:t>山东省四市小麦实际产量</w:t>
      </w:r>
    </w:p>
    <w:p w14:paraId="1B523B8D">
      <w:pPr>
        <w:snapToGrid w:val="0"/>
        <w:jc w:val="center"/>
        <w:rPr>
          <w:rFonts w:eastAsia="黑体"/>
        </w:rPr>
      </w:pPr>
      <w:r>
        <w:rPr>
          <w:rFonts w:eastAsia="黑体"/>
        </w:rPr>
        <w:t>Fig.</w:t>
      </w:r>
      <w:r>
        <w:rPr>
          <w:rFonts w:hint="eastAsia" w:eastAsia="黑体"/>
        </w:rPr>
        <w:t xml:space="preserve">5.1 </w:t>
      </w:r>
      <w:r>
        <w:t>Graph The Actual Yield of Wheat in Four Cities of Shandong</w:t>
      </w:r>
    </w:p>
    <w:commentRangeEnd w:id="17"/>
    <w:p w14:paraId="3CC35A54">
      <w:pPr>
        <w:snapToGrid w:val="0"/>
        <w:rPr>
          <w:rFonts w:eastAsia="黑体"/>
        </w:rPr>
      </w:pPr>
      <w:r>
        <w:rPr>
          <w:rStyle w:val="33"/>
        </w:rPr>
        <w:commentReference w:id="17"/>
      </w:r>
      <w:r>
        <w:rPr>
          <w:rFonts w:hint="eastAsia" w:eastAsia="黑体"/>
        </w:rPr>
        <w:t xml:space="preserve">   </w:t>
      </w:r>
      <w:commentRangeStart w:id="18"/>
      <w:r>
        <w:rPr>
          <w:rFonts w:hint="eastAsia" w:eastAsia="黑体"/>
        </w:rPr>
        <w:t xml:space="preserve"> 数据来源：</w:t>
      </w:r>
      <w:r>
        <w:rPr>
          <w:rFonts w:hint="eastAsia"/>
        </w:rPr>
        <w:t>山东统计年鉴（第十三篇、农业篇），1993-2015</w:t>
      </w:r>
      <w:commentRangeEnd w:id="18"/>
      <w:r>
        <w:rPr>
          <w:rStyle w:val="33"/>
        </w:rPr>
        <w:commentReference w:id="18"/>
      </w:r>
      <w:r>
        <w:rPr>
          <w:rFonts w:hint="eastAsia"/>
        </w:rPr>
        <w:t>。</w:t>
      </w:r>
    </w:p>
    <w:p w14:paraId="27710355">
      <w:pPr>
        <w:snapToGrid w:val="0"/>
        <w:jc w:val="center"/>
        <w:rPr>
          <w:rFonts w:eastAsia="黑体"/>
        </w:rPr>
      </w:pPr>
    </w:p>
    <w:p w14:paraId="3599AA46">
      <w:pPr>
        <w:snapToGrid w:val="0"/>
        <w:jc w:val="center"/>
        <w:rPr>
          <w:rFonts w:eastAsia="黑体"/>
        </w:rPr>
      </w:pPr>
      <w:r>
        <w:rPr>
          <w:rFonts w:eastAsia="黑体"/>
        </w:rPr>
        <w:drawing>
          <wp:inline distT="0" distB="0" distL="0" distR="0">
            <wp:extent cx="5201920" cy="3166110"/>
            <wp:effectExtent l="0" t="0" r="0" b="0"/>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Style w:val="33"/>
        </w:rPr>
        <w:commentReference w:id="19"/>
      </w:r>
    </w:p>
    <w:p w14:paraId="445FC35F">
      <w:pPr>
        <w:snapToGrid w:val="0"/>
        <w:jc w:val="center"/>
        <w:rPr>
          <w:rFonts w:eastAsia="黑体"/>
        </w:rPr>
      </w:pPr>
    </w:p>
    <w:p w14:paraId="28D6F6DE">
      <w:pPr>
        <w:jc w:val="center"/>
        <w:rPr>
          <w:rFonts w:ascii="宋体" w:hAnsi="宋体"/>
        </w:rPr>
      </w:pPr>
      <w:r>
        <w:rPr>
          <w:rFonts w:hint="eastAsia" w:eastAsia="黑体"/>
        </w:rPr>
        <w:t>图5.2</w:t>
      </w:r>
      <w:r>
        <w:rPr>
          <w:rFonts w:hint="eastAsia" w:ascii="宋体" w:hAnsi="宋体"/>
        </w:rPr>
        <w:t>山东省四市小麦实际产量与趋势产量</w:t>
      </w:r>
    </w:p>
    <w:p w14:paraId="59C976F1">
      <w:pPr>
        <w:jc w:val="center"/>
      </w:pPr>
      <w:r>
        <w:rPr>
          <w:rFonts w:eastAsia="黑体"/>
        </w:rPr>
        <w:t>Fig.</w:t>
      </w:r>
      <w:r>
        <w:rPr>
          <w:rFonts w:hint="eastAsia" w:eastAsia="黑体"/>
        </w:rPr>
        <w:t>5.2</w:t>
      </w:r>
      <w:r>
        <w:t xml:space="preserve"> Graph The Actual and Trend Yield of Wheat in Four Cities of Shandong</w:t>
      </w:r>
    </w:p>
    <w:p w14:paraId="20E4E2A8">
      <w:pPr>
        <w:ind w:firstLine="420" w:firstLineChars="200"/>
      </w:pPr>
      <w:r>
        <w:rPr>
          <w:rFonts w:hint="eastAsia" w:eastAsia="黑体"/>
        </w:rPr>
        <w:t>数据来源：</w:t>
      </w:r>
      <w:r>
        <w:rPr>
          <w:rFonts w:hint="eastAsia"/>
        </w:rPr>
        <w:t>山东统计年鉴（第十三篇、农业篇），1993-2015</w:t>
      </w:r>
      <w:r>
        <w:rPr>
          <w:rStyle w:val="33"/>
        </w:rPr>
        <w:commentReference w:id="20"/>
      </w:r>
      <w:r>
        <w:rPr>
          <w:rFonts w:hint="eastAsia"/>
        </w:rPr>
        <w:t>。</w:t>
      </w:r>
    </w:p>
    <w:p w14:paraId="0356230A">
      <w:pPr>
        <w:snapToGrid w:val="0"/>
        <w:jc w:val="center"/>
        <w:rPr>
          <w:rFonts w:eastAsia="黑体"/>
        </w:rPr>
      </w:pPr>
    </w:p>
    <w:p w14:paraId="1A8AFA72">
      <w:pPr>
        <w:snapToGrid w:val="0"/>
        <w:jc w:val="center"/>
        <w:rPr>
          <w:rFonts w:eastAsia="黑体"/>
        </w:rPr>
      </w:pPr>
    </w:p>
    <w:p w14:paraId="60B6A9A6">
      <w:pPr>
        <w:snapToGrid w:val="0"/>
        <w:jc w:val="center"/>
        <w:rPr>
          <w:rFonts w:eastAsia="黑体"/>
        </w:rPr>
      </w:pPr>
      <w:commentRangeStart w:id="21"/>
      <w:r>
        <w:rPr>
          <w:rFonts w:eastAsia="黑体"/>
        </w:rPr>
        <w:t>表5</w:t>
      </w:r>
      <w:r>
        <w:rPr>
          <w:rFonts w:hint="eastAsia" w:eastAsia="黑体"/>
        </w:rPr>
        <w:t>.</w:t>
      </w:r>
      <w:r>
        <w:rPr>
          <w:rFonts w:eastAsia="黑体"/>
        </w:rPr>
        <w:t>1</w:t>
      </w:r>
      <w:r>
        <w:rPr>
          <w:rFonts w:hint="eastAsia" w:eastAsia="黑体"/>
        </w:rPr>
        <w:t xml:space="preserve"> </w:t>
      </w:r>
      <w:r>
        <w:rPr>
          <w:rFonts w:eastAsia="黑体"/>
        </w:rPr>
        <w:t>各地市玉米产量指标统计</w:t>
      </w:r>
      <w:r>
        <w:rPr>
          <w:rFonts w:hint="eastAsia" w:eastAsia="黑体"/>
        </w:rPr>
        <w:t>（千克/公顷）</w:t>
      </w:r>
    </w:p>
    <w:p w14:paraId="5A973505">
      <w:pPr>
        <w:snapToGrid w:val="0"/>
        <w:jc w:val="center"/>
        <w:rPr>
          <w:rFonts w:eastAsia="黑体"/>
        </w:rPr>
      </w:pPr>
      <w:r>
        <w:rPr>
          <w:rFonts w:eastAsia="黑体"/>
        </w:rPr>
        <w:t>Table 5</w:t>
      </w:r>
      <w:r>
        <w:rPr>
          <w:rFonts w:hint="eastAsia" w:eastAsia="黑体"/>
        </w:rPr>
        <w:t>.</w:t>
      </w:r>
      <w:r>
        <w:rPr>
          <w:rFonts w:eastAsia="黑体"/>
        </w:rPr>
        <w:t>1</w:t>
      </w:r>
      <w:r>
        <w:rPr>
          <w:rFonts w:hint="eastAsia" w:eastAsia="黑体"/>
        </w:rPr>
        <w:t xml:space="preserve"> Statistics of Corn Yields in Every City（</w:t>
      </w:r>
      <w:r>
        <w:rPr>
          <w:rFonts w:eastAsia="黑体"/>
        </w:rPr>
        <w:t xml:space="preserve">Kg / </w:t>
      </w:r>
      <w:r>
        <w:rPr>
          <w:rFonts w:hint="eastAsia" w:eastAsia="黑体"/>
        </w:rPr>
        <w:t>H</w:t>
      </w:r>
      <w:r>
        <w:rPr>
          <w:rFonts w:eastAsia="黑体"/>
        </w:rPr>
        <w:t>a</w:t>
      </w:r>
      <w:r>
        <w:rPr>
          <w:rFonts w:hint="eastAsia" w:eastAsia="黑体"/>
        </w:rPr>
        <w:t>）</w:t>
      </w:r>
    </w:p>
    <w:commentRangeEnd w:id="21"/>
    <w:tbl>
      <w:tblPr>
        <w:tblStyle w:val="29"/>
        <w:tblW w:w="9286" w:type="dxa"/>
        <w:jc w:val="center"/>
        <w:tblLayout w:type="fixed"/>
        <w:tblCellMar>
          <w:top w:w="0" w:type="dxa"/>
          <w:left w:w="108" w:type="dxa"/>
          <w:bottom w:w="0" w:type="dxa"/>
          <w:right w:w="108" w:type="dxa"/>
        </w:tblCellMar>
      </w:tblPr>
      <w:tblGrid>
        <w:gridCol w:w="2104"/>
        <w:gridCol w:w="1798"/>
        <w:gridCol w:w="1798"/>
        <w:gridCol w:w="1794"/>
        <w:gridCol w:w="1792"/>
      </w:tblGrid>
      <w:tr w14:paraId="0EF43B5C">
        <w:tblPrEx>
          <w:tblCellMar>
            <w:top w:w="0" w:type="dxa"/>
            <w:left w:w="108" w:type="dxa"/>
            <w:bottom w:w="0" w:type="dxa"/>
            <w:right w:w="108" w:type="dxa"/>
          </w:tblCellMar>
        </w:tblPrEx>
        <w:trPr>
          <w:trHeight w:val="315" w:hRule="atLeast"/>
          <w:jc w:val="center"/>
        </w:trPr>
        <w:tc>
          <w:tcPr>
            <w:tcW w:w="2104" w:type="dxa"/>
            <w:tcBorders>
              <w:top w:val="single" w:color="auto" w:sz="12" w:space="0"/>
              <w:left w:val="nil"/>
              <w:bottom w:val="single" w:color="auto" w:sz="8" w:space="0"/>
              <w:right w:val="nil"/>
            </w:tcBorders>
            <w:vAlign w:val="bottom"/>
          </w:tcPr>
          <w:p w14:paraId="75D9FA59">
            <w:pPr>
              <w:widowControl/>
              <w:jc w:val="center"/>
              <w:rPr>
                <w:color w:val="000000"/>
                <w:kern w:val="0"/>
              </w:rPr>
            </w:pPr>
            <w:r>
              <w:rPr>
                <w:rStyle w:val="33"/>
              </w:rPr>
              <w:commentReference w:id="21"/>
            </w:r>
            <w:r>
              <w:rPr>
                <w:color w:val="000000"/>
                <w:kern w:val="0"/>
              </w:rPr>
              <w:t>变量</w:t>
            </w:r>
          </w:p>
        </w:tc>
        <w:tc>
          <w:tcPr>
            <w:tcW w:w="1798" w:type="dxa"/>
            <w:tcBorders>
              <w:top w:val="single" w:color="auto" w:sz="12" w:space="0"/>
              <w:left w:val="nil"/>
              <w:bottom w:val="single" w:color="auto" w:sz="8" w:space="0"/>
              <w:right w:val="nil"/>
            </w:tcBorders>
            <w:vAlign w:val="bottom"/>
          </w:tcPr>
          <w:p w14:paraId="56003A9B">
            <w:pPr>
              <w:widowControl/>
              <w:jc w:val="center"/>
              <w:rPr>
                <w:color w:val="000000"/>
                <w:kern w:val="0"/>
              </w:rPr>
            </w:pPr>
            <w:r>
              <w:rPr>
                <w:color w:val="000000"/>
                <w:kern w:val="0"/>
              </w:rPr>
              <w:t>均值</w:t>
            </w:r>
          </w:p>
        </w:tc>
        <w:tc>
          <w:tcPr>
            <w:tcW w:w="1798" w:type="dxa"/>
            <w:tcBorders>
              <w:top w:val="single" w:color="auto" w:sz="12" w:space="0"/>
              <w:left w:val="nil"/>
              <w:bottom w:val="single" w:color="auto" w:sz="8" w:space="0"/>
              <w:right w:val="nil"/>
            </w:tcBorders>
            <w:vAlign w:val="bottom"/>
          </w:tcPr>
          <w:p w14:paraId="61D52685">
            <w:pPr>
              <w:widowControl/>
              <w:jc w:val="center"/>
              <w:rPr>
                <w:color w:val="000000"/>
                <w:kern w:val="0"/>
              </w:rPr>
            </w:pPr>
            <w:r>
              <w:rPr>
                <w:color w:val="000000"/>
                <w:kern w:val="0"/>
              </w:rPr>
              <w:t>最小值</w:t>
            </w:r>
          </w:p>
        </w:tc>
        <w:tc>
          <w:tcPr>
            <w:tcW w:w="1794" w:type="dxa"/>
            <w:tcBorders>
              <w:top w:val="single" w:color="auto" w:sz="12" w:space="0"/>
              <w:left w:val="nil"/>
              <w:bottom w:val="single" w:color="auto" w:sz="8" w:space="0"/>
              <w:right w:val="nil"/>
            </w:tcBorders>
            <w:vAlign w:val="bottom"/>
          </w:tcPr>
          <w:p w14:paraId="4933B0D4">
            <w:pPr>
              <w:widowControl/>
              <w:jc w:val="center"/>
              <w:rPr>
                <w:color w:val="000000"/>
                <w:kern w:val="0"/>
              </w:rPr>
            </w:pPr>
            <w:r>
              <w:rPr>
                <w:color w:val="000000"/>
                <w:kern w:val="0"/>
              </w:rPr>
              <w:t>中值</w:t>
            </w:r>
          </w:p>
        </w:tc>
        <w:tc>
          <w:tcPr>
            <w:tcW w:w="1792" w:type="dxa"/>
            <w:tcBorders>
              <w:top w:val="single" w:color="auto" w:sz="12" w:space="0"/>
              <w:left w:val="nil"/>
              <w:bottom w:val="single" w:color="auto" w:sz="8" w:space="0"/>
              <w:right w:val="nil"/>
            </w:tcBorders>
            <w:vAlign w:val="bottom"/>
          </w:tcPr>
          <w:p w14:paraId="5F13A029">
            <w:pPr>
              <w:widowControl/>
              <w:jc w:val="center"/>
              <w:rPr>
                <w:color w:val="000000"/>
                <w:kern w:val="0"/>
              </w:rPr>
            </w:pPr>
            <w:r>
              <w:rPr>
                <w:color w:val="000000"/>
                <w:kern w:val="0"/>
              </w:rPr>
              <w:t>最大值</w:t>
            </w:r>
          </w:p>
        </w:tc>
      </w:tr>
      <w:tr w14:paraId="47D25764">
        <w:tblPrEx>
          <w:tblCellMar>
            <w:top w:w="0" w:type="dxa"/>
            <w:left w:w="108" w:type="dxa"/>
            <w:bottom w:w="0" w:type="dxa"/>
            <w:right w:w="108" w:type="dxa"/>
          </w:tblCellMar>
        </w:tblPrEx>
        <w:trPr>
          <w:trHeight w:val="315" w:hRule="atLeast"/>
          <w:jc w:val="center"/>
        </w:trPr>
        <w:tc>
          <w:tcPr>
            <w:tcW w:w="2104" w:type="dxa"/>
            <w:tcBorders>
              <w:top w:val="single" w:color="auto" w:sz="8" w:space="0"/>
              <w:left w:val="nil"/>
              <w:bottom w:val="nil"/>
              <w:right w:val="nil"/>
            </w:tcBorders>
            <w:tcMar>
              <w:left w:w="0" w:type="dxa"/>
              <w:right w:w="0" w:type="dxa"/>
            </w:tcMar>
            <w:vAlign w:val="center"/>
          </w:tcPr>
          <w:p w14:paraId="4A95F291">
            <w:pPr>
              <w:widowControl/>
              <w:jc w:val="center"/>
              <w:rPr>
                <w:kern w:val="0"/>
              </w:rPr>
            </w:pPr>
            <w:r>
              <w:rPr>
                <w:kern w:val="0"/>
              </w:rPr>
              <w:t xml:space="preserve">济 </w:t>
            </w:r>
            <w:r>
              <w:rPr>
                <w:rFonts w:eastAsia="汉仪报宋简"/>
                <w:kern w:val="0"/>
              </w:rPr>
              <w:t>南</w:t>
            </w:r>
            <w:r>
              <w:rPr>
                <w:kern w:val="0"/>
              </w:rPr>
              <w:t xml:space="preserve"> </w:t>
            </w:r>
            <w:r>
              <w:rPr>
                <w:rFonts w:eastAsia="汉仪报宋简"/>
                <w:kern w:val="0"/>
              </w:rPr>
              <w:t>市</w:t>
            </w:r>
          </w:p>
        </w:tc>
        <w:tc>
          <w:tcPr>
            <w:tcW w:w="1798" w:type="dxa"/>
            <w:tcBorders>
              <w:top w:val="single" w:color="auto" w:sz="8" w:space="0"/>
              <w:left w:val="nil"/>
              <w:bottom w:val="nil"/>
              <w:right w:val="nil"/>
            </w:tcBorders>
            <w:tcMar>
              <w:left w:w="0" w:type="dxa"/>
              <w:right w:w="0" w:type="dxa"/>
            </w:tcMar>
            <w:vAlign w:val="bottom"/>
          </w:tcPr>
          <w:p w14:paraId="75877CB7">
            <w:pPr>
              <w:widowControl/>
              <w:jc w:val="center"/>
              <w:rPr>
                <w:color w:val="000000"/>
                <w:kern w:val="0"/>
              </w:rPr>
            </w:pPr>
            <w:r>
              <w:rPr>
                <w:color w:val="000000"/>
                <w:kern w:val="0"/>
              </w:rPr>
              <w:t xml:space="preserve">6284.62 </w:t>
            </w:r>
          </w:p>
        </w:tc>
        <w:tc>
          <w:tcPr>
            <w:tcW w:w="1798" w:type="dxa"/>
            <w:tcBorders>
              <w:top w:val="single" w:color="auto" w:sz="8" w:space="0"/>
              <w:left w:val="nil"/>
              <w:bottom w:val="nil"/>
              <w:right w:val="nil"/>
            </w:tcBorders>
            <w:tcMar>
              <w:left w:w="0" w:type="dxa"/>
              <w:right w:w="0" w:type="dxa"/>
            </w:tcMar>
            <w:vAlign w:val="bottom"/>
          </w:tcPr>
          <w:p w14:paraId="69C862BA">
            <w:pPr>
              <w:widowControl/>
              <w:jc w:val="center"/>
              <w:rPr>
                <w:color w:val="000000"/>
                <w:kern w:val="0"/>
              </w:rPr>
            </w:pPr>
            <w:r>
              <w:rPr>
                <w:color w:val="000000"/>
                <w:kern w:val="0"/>
              </w:rPr>
              <w:t xml:space="preserve">5005 </w:t>
            </w:r>
          </w:p>
        </w:tc>
        <w:tc>
          <w:tcPr>
            <w:tcW w:w="1794" w:type="dxa"/>
            <w:tcBorders>
              <w:top w:val="single" w:color="auto" w:sz="8" w:space="0"/>
              <w:left w:val="nil"/>
              <w:bottom w:val="nil"/>
              <w:right w:val="nil"/>
            </w:tcBorders>
            <w:tcMar>
              <w:left w:w="0" w:type="dxa"/>
              <w:right w:w="0" w:type="dxa"/>
            </w:tcMar>
            <w:vAlign w:val="bottom"/>
          </w:tcPr>
          <w:p w14:paraId="4780694A">
            <w:pPr>
              <w:widowControl/>
              <w:jc w:val="center"/>
              <w:rPr>
                <w:color w:val="000000"/>
                <w:kern w:val="0"/>
              </w:rPr>
            </w:pPr>
            <w:r>
              <w:rPr>
                <w:color w:val="000000"/>
                <w:kern w:val="0"/>
              </w:rPr>
              <w:t xml:space="preserve">6342 </w:t>
            </w:r>
          </w:p>
        </w:tc>
        <w:tc>
          <w:tcPr>
            <w:tcW w:w="1792" w:type="dxa"/>
            <w:tcBorders>
              <w:top w:val="single" w:color="auto" w:sz="8" w:space="0"/>
              <w:left w:val="nil"/>
              <w:bottom w:val="nil"/>
              <w:right w:val="nil"/>
            </w:tcBorders>
            <w:tcMar>
              <w:left w:w="0" w:type="dxa"/>
              <w:right w:w="0" w:type="dxa"/>
            </w:tcMar>
            <w:vAlign w:val="bottom"/>
          </w:tcPr>
          <w:p w14:paraId="24540F0E">
            <w:pPr>
              <w:widowControl/>
              <w:jc w:val="center"/>
              <w:rPr>
                <w:color w:val="000000"/>
                <w:kern w:val="0"/>
              </w:rPr>
            </w:pPr>
            <w:r>
              <w:rPr>
                <w:color w:val="000000"/>
                <w:kern w:val="0"/>
              </w:rPr>
              <w:t xml:space="preserve">6944 </w:t>
            </w:r>
          </w:p>
        </w:tc>
      </w:tr>
      <w:tr w14:paraId="2FE33EA1">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6B6F5FDB">
            <w:pPr>
              <w:widowControl/>
              <w:jc w:val="center"/>
              <w:rPr>
                <w:kern w:val="0"/>
              </w:rPr>
            </w:pPr>
            <w:r>
              <w:rPr>
                <w:kern w:val="0"/>
              </w:rPr>
              <w:t xml:space="preserve">青 </w:t>
            </w:r>
            <w:r>
              <w:rPr>
                <w:rFonts w:eastAsia="汉仪报宋简"/>
                <w:kern w:val="0"/>
              </w:rPr>
              <w:t>岛</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2ABD4E2B">
            <w:pPr>
              <w:widowControl/>
              <w:jc w:val="center"/>
              <w:rPr>
                <w:color w:val="000000"/>
                <w:kern w:val="0"/>
              </w:rPr>
            </w:pPr>
            <w:r>
              <w:rPr>
                <w:color w:val="000000"/>
                <w:kern w:val="0"/>
              </w:rPr>
              <w:t xml:space="preserve">6819.62 </w:t>
            </w:r>
          </w:p>
        </w:tc>
        <w:tc>
          <w:tcPr>
            <w:tcW w:w="1798" w:type="dxa"/>
            <w:tcBorders>
              <w:top w:val="nil"/>
              <w:left w:val="nil"/>
              <w:bottom w:val="nil"/>
              <w:right w:val="nil"/>
            </w:tcBorders>
            <w:tcMar>
              <w:left w:w="0" w:type="dxa"/>
              <w:right w:w="0" w:type="dxa"/>
            </w:tcMar>
            <w:vAlign w:val="bottom"/>
          </w:tcPr>
          <w:p w14:paraId="3B6C99F8">
            <w:pPr>
              <w:widowControl/>
              <w:jc w:val="center"/>
              <w:rPr>
                <w:color w:val="000000"/>
                <w:kern w:val="0"/>
              </w:rPr>
            </w:pPr>
            <w:r>
              <w:rPr>
                <w:color w:val="000000"/>
                <w:kern w:val="0"/>
              </w:rPr>
              <w:t xml:space="preserve">4095 </w:t>
            </w:r>
          </w:p>
        </w:tc>
        <w:tc>
          <w:tcPr>
            <w:tcW w:w="1794" w:type="dxa"/>
            <w:tcBorders>
              <w:top w:val="nil"/>
              <w:left w:val="nil"/>
              <w:bottom w:val="nil"/>
              <w:right w:val="nil"/>
            </w:tcBorders>
            <w:tcMar>
              <w:left w:w="0" w:type="dxa"/>
              <w:right w:w="0" w:type="dxa"/>
            </w:tcMar>
            <w:vAlign w:val="bottom"/>
          </w:tcPr>
          <w:p w14:paraId="505B8A79">
            <w:pPr>
              <w:widowControl/>
              <w:jc w:val="center"/>
              <w:rPr>
                <w:color w:val="000000"/>
                <w:kern w:val="0"/>
              </w:rPr>
            </w:pPr>
            <w:r>
              <w:rPr>
                <w:color w:val="000000"/>
                <w:kern w:val="0"/>
              </w:rPr>
              <w:t xml:space="preserve">6991 </w:t>
            </w:r>
          </w:p>
        </w:tc>
        <w:tc>
          <w:tcPr>
            <w:tcW w:w="1792" w:type="dxa"/>
            <w:tcBorders>
              <w:top w:val="nil"/>
              <w:left w:val="nil"/>
              <w:bottom w:val="nil"/>
              <w:right w:val="nil"/>
            </w:tcBorders>
            <w:tcMar>
              <w:left w:w="0" w:type="dxa"/>
              <w:right w:w="0" w:type="dxa"/>
            </w:tcMar>
            <w:vAlign w:val="bottom"/>
          </w:tcPr>
          <w:p w14:paraId="62DC1374">
            <w:pPr>
              <w:widowControl/>
              <w:jc w:val="center"/>
              <w:rPr>
                <w:color w:val="000000"/>
                <w:kern w:val="0"/>
              </w:rPr>
            </w:pPr>
            <w:r>
              <w:rPr>
                <w:color w:val="000000"/>
                <w:kern w:val="0"/>
              </w:rPr>
              <w:t xml:space="preserve">7520 </w:t>
            </w:r>
          </w:p>
        </w:tc>
      </w:tr>
      <w:tr w14:paraId="7EBD5BC0">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3BE67922">
            <w:pPr>
              <w:widowControl/>
              <w:jc w:val="center"/>
              <w:rPr>
                <w:kern w:val="0"/>
              </w:rPr>
            </w:pPr>
            <w:r>
              <w:rPr>
                <w:kern w:val="0"/>
              </w:rPr>
              <w:t xml:space="preserve">淄 </w:t>
            </w:r>
            <w:r>
              <w:rPr>
                <w:rFonts w:eastAsia="汉仪报宋简"/>
                <w:kern w:val="0"/>
              </w:rPr>
              <w:t>博</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13C1F49B">
            <w:pPr>
              <w:widowControl/>
              <w:jc w:val="center"/>
              <w:rPr>
                <w:color w:val="000000"/>
                <w:kern w:val="0"/>
              </w:rPr>
            </w:pPr>
            <w:r>
              <w:rPr>
                <w:color w:val="000000"/>
                <w:kern w:val="0"/>
              </w:rPr>
              <w:t xml:space="preserve">6953.10 </w:t>
            </w:r>
          </w:p>
        </w:tc>
        <w:tc>
          <w:tcPr>
            <w:tcW w:w="1798" w:type="dxa"/>
            <w:tcBorders>
              <w:top w:val="nil"/>
              <w:left w:val="nil"/>
              <w:bottom w:val="nil"/>
              <w:right w:val="nil"/>
            </w:tcBorders>
            <w:tcMar>
              <w:left w:w="0" w:type="dxa"/>
              <w:right w:w="0" w:type="dxa"/>
            </w:tcMar>
            <w:vAlign w:val="bottom"/>
          </w:tcPr>
          <w:p w14:paraId="12D19D54">
            <w:pPr>
              <w:widowControl/>
              <w:jc w:val="center"/>
              <w:rPr>
                <w:color w:val="000000"/>
                <w:kern w:val="0"/>
              </w:rPr>
            </w:pPr>
            <w:r>
              <w:rPr>
                <w:color w:val="000000"/>
                <w:kern w:val="0"/>
              </w:rPr>
              <w:t xml:space="preserve">5368 </w:t>
            </w:r>
          </w:p>
        </w:tc>
        <w:tc>
          <w:tcPr>
            <w:tcW w:w="1794" w:type="dxa"/>
            <w:tcBorders>
              <w:top w:val="nil"/>
              <w:left w:val="nil"/>
              <w:bottom w:val="nil"/>
              <w:right w:val="nil"/>
            </w:tcBorders>
            <w:tcMar>
              <w:left w:w="0" w:type="dxa"/>
              <w:right w:w="0" w:type="dxa"/>
            </w:tcMar>
            <w:vAlign w:val="bottom"/>
          </w:tcPr>
          <w:p w14:paraId="0E8D49C7">
            <w:pPr>
              <w:widowControl/>
              <w:jc w:val="center"/>
              <w:rPr>
                <w:color w:val="000000"/>
                <w:kern w:val="0"/>
              </w:rPr>
            </w:pPr>
            <w:r>
              <w:rPr>
                <w:color w:val="000000"/>
                <w:kern w:val="0"/>
              </w:rPr>
              <w:t xml:space="preserve">7111 </w:t>
            </w:r>
          </w:p>
        </w:tc>
        <w:tc>
          <w:tcPr>
            <w:tcW w:w="1792" w:type="dxa"/>
            <w:tcBorders>
              <w:top w:val="nil"/>
              <w:left w:val="nil"/>
              <w:bottom w:val="nil"/>
              <w:right w:val="nil"/>
            </w:tcBorders>
            <w:tcMar>
              <w:left w:w="0" w:type="dxa"/>
              <w:right w:w="0" w:type="dxa"/>
            </w:tcMar>
            <w:vAlign w:val="bottom"/>
          </w:tcPr>
          <w:p w14:paraId="5D541BDA">
            <w:pPr>
              <w:widowControl/>
              <w:jc w:val="center"/>
              <w:rPr>
                <w:color w:val="000000"/>
                <w:kern w:val="0"/>
              </w:rPr>
            </w:pPr>
            <w:r>
              <w:rPr>
                <w:color w:val="000000"/>
                <w:kern w:val="0"/>
              </w:rPr>
              <w:t xml:space="preserve">7749 </w:t>
            </w:r>
          </w:p>
        </w:tc>
      </w:tr>
      <w:tr w14:paraId="413EB46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175C19F">
            <w:pPr>
              <w:widowControl/>
              <w:jc w:val="center"/>
              <w:rPr>
                <w:kern w:val="0"/>
              </w:rPr>
            </w:pPr>
            <w:r>
              <w:rPr>
                <w:kern w:val="0"/>
              </w:rPr>
              <w:t xml:space="preserve">枣 </w:t>
            </w:r>
            <w:r>
              <w:rPr>
                <w:rFonts w:eastAsia="汉仪报宋简"/>
                <w:kern w:val="0"/>
              </w:rPr>
              <w:t>庄</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D91C7C1">
            <w:pPr>
              <w:widowControl/>
              <w:jc w:val="center"/>
              <w:rPr>
                <w:color w:val="000000"/>
                <w:kern w:val="0"/>
              </w:rPr>
            </w:pPr>
            <w:r>
              <w:rPr>
                <w:color w:val="000000"/>
                <w:kern w:val="0"/>
              </w:rPr>
              <w:t xml:space="preserve">6990.14 </w:t>
            </w:r>
          </w:p>
        </w:tc>
        <w:tc>
          <w:tcPr>
            <w:tcW w:w="1798" w:type="dxa"/>
            <w:tcBorders>
              <w:top w:val="nil"/>
              <w:left w:val="nil"/>
              <w:bottom w:val="nil"/>
              <w:right w:val="nil"/>
            </w:tcBorders>
            <w:tcMar>
              <w:left w:w="0" w:type="dxa"/>
              <w:right w:w="0" w:type="dxa"/>
            </w:tcMar>
            <w:vAlign w:val="bottom"/>
          </w:tcPr>
          <w:p w14:paraId="3CA90C88">
            <w:pPr>
              <w:widowControl/>
              <w:jc w:val="center"/>
              <w:rPr>
                <w:color w:val="000000"/>
                <w:kern w:val="0"/>
              </w:rPr>
            </w:pPr>
            <w:r>
              <w:rPr>
                <w:color w:val="000000"/>
                <w:kern w:val="0"/>
              </w:rPr>
              <w:t xml:space="preserve">5340 </w:t>
            </w:r>
          </w:p>
        </w:tc>
        <w:tc>
          <w:tcPr>
            <w:tcW w:w="1794" w:type="dxa"/>
            <w:tcBorders>
              <w:top w:val="nil"/>
              <w:left w:val="nil"/>
              <w:bottom w:val="nil"/>
              <w:right w:val="nil"/>
            </w:tcBorders>
            <w:tcMar>
              <w:left w:w="0" w:type="dxa"/>
              <w:right w:w="0" w:type="dxa"/>
            </w:tcMar>
            <w:vAlign w:val="bottom"/>
          </w:tcPr>
          <w:p w14:paraId="3C5299F1">
            <w:pPr>
              <w:widowControl/>
              <w:jc w:val="center"/>
              <w:rPr>
                <w:color w:val="000000"/>
                <w:kern w:val="0"/>
              </w:rPr>
            </w:pPr>
            <w:r>
              <w:rPr>
                <w:color w:val="000000"/>
                <w:kern w:val="0"/>
              </w:rPr>
              <w:t xml:space="preserve">7116 </w:t>
            </w:r>
          </w:p>
        </w:tc>
        <w:tc>
          <w:tcPr>
            <w:tcW w:w="1792" w:type="dxa"/>
            <w:tcBorders>
              <w:top w:val="nil"/>
              <w:left w:val="nil"/>
              <w:bottom w:val="nil"/>
              <w:right w:val="nil"/>
            </w:tcBorders>
            <w:tcMar>
              <w:left w:w="0" w:type="dxa"/>
              <w:right w:w="0" w:type="dxa"/>
            </w:tcMar>
            <w:vAlign w:val="bottom"/>
          </w:tcPr>
          <w:p w14:paraId="47E898E7">
            <w:pPr>
              <w:widowControl/>
              <w:jc w:val="center"/>
              <w:rPr>
                <w:color w:val="000000"/>
                <w:kern w:val="0"/>
              </w:rPr>
            </w:pPr>
            <w:r>
              <w:rPr>
                <w:color w:val="000000"/>
                <w:kern w:val="0"/>
              </w:rPr>
              <w:t xml:space="preserve">7525 </w:t>
            </w:r>
          </w:p>
        </w:tc>
      </w:tr>
      <w:tr w14:paraId="0D1D2F8D">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1D9BAF22">
            <w:pPr>
              <w:widowControl/>
              <w:jc w:val="center"/>
              <w:rPr>
                <w:kern w:val="0"/>
              </w:rPr>
            </w:pPr>
            <w:r>
              <w:rPr>
                <w:kern w:val="0"/>
              </w:rPr>
              <w:t xml:space="preserve">东 </w:t>
            </w:r>
            <w:r>
              <w:rPr>
                <w:rFonts w:eastAsia="汉仪报宋简"/>
                <w:kern w:val="0"/>
              </w:rPr>
              <w:t>营</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89A6B6A">
            <w:pPr>
              <w:widowControl/>
              <w:jc w:val="center"/>
              <w:rPr>
                <w:color w:val="000000"/>
                <w:kern w:val="0"/>
              </w:rPr>
            </w:pPr>
            <w:r>
              <w:rPr>
                <w:color w:val="000000"/>
                <w:kern w:val="0"/>
              </w:rPr>
              <w:t xml:space="preserve">6274.33 </w:t>
            </w:r>
          </w:p>
        </w:tc>
        <w:tc>
          <w:tcPr>
            <w:tcW w:w="1798" w:type="dxa"/>
            <w:tcBorders>
              <w:top w:val="nil"/>
              <w:left w:val="nil"/>
              <w:bottom w:val="nil"/>
              <w:right w:val="nil"/>
            </w:tcBorders>
            <w:tcMar>
              <w:left w:w="0" w:type="dxa"/>
              <w:right w:w="0" w:type="dxa"/>
            </w:tcMar>
            <w:vAlign w:val="bottom"/>
          </w:tcPr>
          <w:p w14:paraId="5717A6F6">
            <w:pPr>
              <w:widowControl/>
              <w:jc w:val="center"/>
              <w:rPr>
                <w:color w:val="000000"/>
                <w:kern w:val="0"/>
              </w:rPr>
            </w:pPr>
            <w:r>
              <w:rPr>
                <w:color w:val="000000"/>
                <w:kern w:val="0"/>
              </w:rPr>
              <w:t xml:space="preserve">4378 </w:t>
            </w:r>
          </w:p>
        </w:tc>
        <w:tc>
          <w:tcPr>
            <w:tcW w:w="1794" w:type="dxa"/>
            <w:tcBorders>
              <w:top w:val="nil"/>
              <w:left w:val="nil"/>
              <w:bottom w:val="nil"/>
              <w:right w:val="nil"/>
            </w:tcBorders>
            <w:tcMar>
              <w:left w:w="0" w:type="dxa"/>
              <w:right w:w="0" w:type="dxa"/>
            </w:tcMar>
            <w:vAlign w:val="bottom"/>
          </w:tcPr>
          <w:p w14:paraId="416D031C">
            <w:pPr>
              <w:widowControl/>
              <w:jc w:val="center"/>
              <w:rPr>
                <w:color w:val="000000"/>
                <w:kern w:val="0"/>
              </w:rPr>
            </w:pPr>
            <w:r>
              <w:rPr>
                <w:color w:val="000000"/>
                <w:kern w:val="0"/>
              </w:rPr>
              <w:t xml:space="preserve">6244 </w:t>
            </w:r>
          </w:p>
        </w:tc>
        <w:tc>
          <w:tcPr>
            <w:tcW w:w="1792" w:type="dxa"/>
            <w:tcBorders>
              <w:top w:val="nil"/>
              <w:left w:val="nil"/>
              <w:bottom w:val="nil"/>
              <w:right w:val="nil"/>
            </w:tcBorders>
            <w:tcMar>
              <w:left w:w="0" w:type="dxa"/>
              <w:right w:w="0" w:type="dxa"/>
            </w:tcMar>
            <w:vAlign w:val="bottom"/>
          </w:tcPr>
          <w:p w14:paraId="0E1D178D">
            <w:pPr>
              <w:widowControl/>
              <w:jc w:val="center"/>
              <w:rPr>
                <w:color w:val="000000"/>
                <w:kern w:val="0"/>
              </w:rPr>
            </w:pPr>
            <w:r>
              <w:rPr>
                <w:color w:val="000000"/>
                <w:kern w:val="0"/>
              </w:rPr>
              <w:t xml:space="preserve">7573 </w:t>
            </w:r>
          </w:p>
        </w:tc>
      </w:tr>
      <w:tr w14:paraId="2043A06B">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33B5F7F5">
            <w:pPr>
              <w:widowControl/>
              <w:jc w:val="center"/>
              <w:rPr>
                <w:kern w:val="0"/>
              </w:rPr>
            </w:pPr>
            <w:r>
              <w:rPr>
                <w:kern w:val="0"/>
              </w:rPr>
              <w:t xml:space="preserve">烟 </w:t>
            </w:r>
            <w:r>
              <w:rPr>
                <w:rFonts w:eastAsia="汉仪报宋简"/>
                <w:kern w:val="0"/>
              </w:rPr>
              <w:t>台</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66F653A2">
            <w:pPr>
              <w:widowControl/>
              <w:jc w:val="center"/>
              <w:rPr>
                <w:color w:val="000000"/>
                <w:kern w:val="0"/>
              </w:rPr>
            </w:pPr>
            <w:r>
              <w:rPr>
                <w:color w:val="000000"/>
                <w:kern w:val="0"/>
              </w:rPr>
              <w:t xml:space="preserve">6719.14 </w:t>
            </w:r>
          </w:p>
        </w:tc>
        <w:tc>
          <w:tcPr>
            <w:tcW w:w="1798" w:type="dxa"/>
            <w:tcBorders>
              <w:top w:val="nil"/>
              <w:left w:val="nil"/>
              <w:bottom w:val="nil"/>
              <w:right w:val="nil"/>
            </w:tcBorders>
            <w:tcMar>
              <w:left w:w="0" w:type="dxa"/>
              <w:right w:w="0" w:type="dxa"/>
            </w:tcMar>
            <w:vAlign w:val="bottom"/>
          </w:tcPr>
          <w:p w14:paraId="12F361B2">
            <w:pPr>
              <w:widowControl/>
              <w:jc w:val="center"/>
              <w:rPr>
                <w:color w:val="000000"/>
                <w:kern w:val="0"/>
              </w:rPr>
            </w:pPr>
            <w:r>
              <w:rPr>
                <w:color w:val="000000"/>
                <w:kern w:val="0"/>
              </w:rPr>
              <w:t xml:space="preserve">4641 </w:t>
            </w:r>
          </w:p>
        </w:tc>
        <w:tc>
          <w:tcPr>
            <w:tcW w:w="1794" w:type="dxa"/>
            <w:tcBorders>
              <w:top w:val="nil"/>
              <w:left w:val="nil"/>
              <w:bottom w:val="nil"/>
              <w:right w:val="nil"/>
            </w:tcBorders>
            <w:tcMar>
              <w:left w:w="0" w:type="dxa"/>
              <w:right w:w="0" w:type="dxa"/>
            </w:tcMar>
            <w:vAlign w:val="bottom"/>
          </w:tcPr>
          <w:p w14:paraId="1DF79619">
            <w:pPr>
              <w:widowControl/>
              <w:jc w:val="center"/>
              <w:rPr>
                <w:color w:val="000000"/>
                <w:kern w:val="0"/>
              </w:rPr>
            </w:pPr>
            <w:r>
              <w:rPr>
                <w:color w:val="000000"/>
                <w:kern w:val="0"/>
              </w:rPr>
              <w:t xml:space="preserve">7116 </w:t>
            </w:r>
          </w:p>
        </w:tc>
        <w:tc>
          <w:tcPr>
            <w:tcW w:w="1792" w:type="dxa"/>
            <w:tcBorders>
              <w:top w:val="nil"/>
              <w:left w:val="nil"/>
              <w:bottom w:val="nil"/>
              <w:right w:val="nil"/>
            </w:tcBorders>
            <w:tcMar>
              <w:left w:w="0" w:type="dxa"/>
              <w:right w:w="0" w:type="dxa"/>
            </w:tcMar>
            <w:vAlign w:val="bottom"/>
          </w:tcPr>
          <w:p w14:paraId="3E460BE8">
            <w:pPr>
              <w:widowControl/>
              <w:jc w:val="center"/>
              <w:rPr>
                <w:color w:val="000000"/>
                <w:kern w:val="0"/>
              </w:rPr>
            </w:pPr>
            <w:r>
              <w:rPr>
                <w:color w:val="000000"/>
                <w:kern w:val="0"/>
              </w:rPr>
              <w:t xml:space="preserve">7498 </w:t>
            </w:r>
          </w:p>
        </w:tc>
      </w:tr>
      <w:tr w14:paraId="3EC29712">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5D6DFA3E">
            <w:pPr>
              <w:widowControl/>
              <w:jc w:val="center"/>
              <w:rPr>
                <w:kern w:val="0"/>
              </w:rPr>
            </w:pPr>
            <w:r>
              <w:rPr>
                <w:kern w:val="0"/>
              </w:rPr>
              <w:t xml:space="preserve">潍 </w:t>
            </w:r>
            <w:r>
              <w:rPr>
                <w:rFonts w:eastAsia="汉仪报宋简"/>
                <w:kern w:val="0"/>
              </w:rPr>
              <w:t>坊</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F260067">
            <w:pPr>
              <w:widowControl/>
              <w:jc w:val="center"/>
              <w:rPr>
                <w:color w:val="000000"/>
                <w:kern w:val="0"/>
              </w:rPr>
            </w:pPr>
            <w:r>
              <w:rPr>
                <w:color w:val="000000"/>
                <w:kern w:val="0"/>
              </w:rPr>
              <w:t xml:space="preserve">6490.38 </w:t>
            </w:r>
          </w:p>
        </w:tc>
        <w:tc>
          <w:tcPr>
            <w:tcW w:w="1798" w:type="dxa"/>
            <w:tcBorders>
              <w:top w:val="nil"/>
              <w:left w:val="nil"/>
              <w:bottom w:val="nil"/>
              <w:right w:val="nil"/>
            </w:tcBorders>
            <w:tcMar>
              <w:left w:w="0" w:type="dxa"/>
              <w:right w:w="0" w:type="dxa"/>
            </w:tcMar>
            <w:vAlign w:val="bottom"/>
          </w:tcPr>
          <w:p w14:paraId="4FEA4E20">
            <w:pPr>
              <w:widowControl/>
              <w:jc w:val="center"/>
              <w:rPr>
                <w:color w:val="000000"/>
                <w:kern w:val="0"/>
              </w:rPr>
            </w:pPr>
            <w:r>
              <w:rPr>
                <w:color w:val="000000"/>
                <w:kern w:val="0"/>
              </w:rPr>
              <w:t xml:space="preserve">5044 </w:t>
            </w:r>
          </w:p>
        </w:tc>
        <w:tc>
          <w:tcPr>
            <w:tcW w:w="1794" w:type="dxa"/>
            <w:tcBorders>
              <w:top w:val="nil"/>
              <w:left w:val="nil"/>
              <w:bottom w:val="nil"/>
              <w:right w:val="nil"/>
            </w:tcBorders>
            <w:tcMar>
              <w:left w:w="0" w:type="dxa"/>
              <w:right w:w="0" w:type="dxa"/>
            </w:tcMar>
            <w:vAlign w:val="bottom"/>
          </w:tcPr>
          <w:p w14:paraId="6AC4123D">
            <w:pPr>
              <w:widowControl/>
              <w:jc w:val="center"/>
              <w:rPr>
                <w:color w:val="000000"/>
                <w:kern w:val="0"/>
              </w:rPr>
            </w:pPr>
            <w:r>
              <w:rPr>
                <w:color w:val="000000"/>
                <w:kern w:val="0"/>
              </w:rPr>
              <w:t xml:space="preserve">6640 </w:t>
            </w:r>
          </w:p>
        </w:tc>
        <w:tc>
          <w:tcPr>
            <w:tcW w:w="1792" w:type="dxa"/>
            <w:tcBorders>
              <w:top w:val="nil"/>
              <w:left w:val="nil"/>
              <w:bottom w:val="nil"/>
              <w:right w:val="nil"/>
            </w:tcBorders>
            <w:tcMar>
              <w:left w:w="0" w:type="dxa"/>
              <w:right w:w="0" w:type="dxa"/>
            </w:tcMar>
            <w:vAlign w:val="bottom"/>
          </w:tcPr>
          <w:p w14:paraId="7EFCAE95">
            <w:pPr>
              <w:widowControl/>
              <w:jc w:val="center"/>
              <w:rPr>
                <w:color w:val="000000"/>
                <w:kern w:val="0"/>
              </w:rPr>
            </w:pPr>
            <w:r>
              <w:rPr>
                <w:color w:val="000000"/>
                <w:kern w:val="0"/>
              </w:rPr>
              <w:t xml:space="preserve">7425 </w:t>
            </w:r>
          </w:p>
        </w:tc>
      </w:tr>
      <w:tr w14:paraId="7B8E77C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A2A5AA4">
            <w:pPr>
              <w:widowControl/>
              <w:jc w:val="center"/>
              <w:rPr>
                <w:kern w:val="0"/>
              </w:rPr>
            </w:pPr>
            <w:r>
              <w:rPr>
                <w:kern w:val="0"/>
              </w:rPr>
              <w:t xml:space="preserve">济 </w:t>
            </w:r>
            <w:r>
              <w:rPr>
                <w:rFonts w:eastAsia="汉仪报宋简"/>
                <w:kern w:val="0"/>
              </w:rPr>
              <w:t>宁</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5E41BE5">
            <w:pPr>
              <w:widowControl/>
              <w:jc w:val="center"/>
              <w:rPr>
                <w:color w:val="000000"/>
                <w:kern w:val="0"/>
              </w:rPr>
            </w:pPr>
            <w:r>
              <w:rPr>
                <w:color w:val="000000"/>
                <w:kern w:val="0"/>
              </w:rPr>
              <w:t xml:space="preserve">7069.90 </w:t>
            </w:r>
          </w:p>
        </w:tc>
        <w:tc>
          <w:tcPr>
            <w:tcW w:w="1798" w:type="dxa"/>
            <w:tcBorders>
              <w:top w:val="nil"/>
              <w:left w:val="nil"/>
              <w:bottom w:val="nil"/>
              <w:right w:val="nil"/>
            </w:tcBorders>
            <w:tcMar>
              <w:left w:w="0" w:type="dxa"/>
              <w:right w:w="0" w:type="dxa"/>
            </w:tcMar>
            <w:vAlign w:val="bottom"/>
          </w:tcPr>
          <w:p w14:paraId="2B0F039F">
            <w:pPr>
              <w:widowControl/>
              <w:jc w:val="center"/>
              <w:rPr>
                <w:color w:val="000000"/>
                <w:kern w:val="0"/>
              </w:rPr>
            </w:pPr>
            <w:r>
              <w:rPr>
                <w:color w:val="000000"/>
                <w:kern w:val="0"/>
              </w:rPr>
              <w:t xml:space="preserve">6053 </w:t>
            </w:r>
          </w:p>
        </w:tc>
        <w:tc>
          <w:tcPr>
            <w:tcW w:w="1794" w:type="dxa"/>
            <w:tcBorders>
              <w:top w:val="nil"/>
              <w:left w:val="nil"/>
              <w:bottom w:val="nil"/>
              <w:right w:val="nil"/>
            </w:tcBorders>
            <w:tcMar>
              <w:left w:w="0" w:type="dxa"/>
              <w:right w:w="0" w:type="dxa"/>
            </w:tcMar>
            <w:vAlign w:val="bottom"/>
          </w:tcPr>
          <w:p w14:paraId="7A0AC605">
            <w:pPr>
              <w:widowControl/>
              <w:jc w:val="center"/>
              <w:rPr>
                <w:color w:val="000000"/>
                <w:kern w:val="0"/>
              </w:rPr>
            </w:pPr>
            <w:r>
              <w:rPr>
                <w:color w:val="000000"/>
                <w:kern w:val="0"/>
              </w:rPr>
              <w:t xml:space="preserve">7354 </w:t>
            </w:r>
          </w:p>
        </w:tc>
        <w:tc>
          <w:tcPr>
            <w:tcW w:w="1792" w:type="dxa"/>
            <w:tcBorders>
              <w:top w:val="nil"/>
              <w:left w:val="nil"/>
              <w:bottom w:val="nil"/>
              <w:right w:val="nil"/>
            </w:tcBorders>
            <w:tcMar>
              <w:left w:w="0" w:type="dxa"/>
              <w:right w:w="0" w:type="dxa"/>
            </w:tcMar>
            <w:vAlign w:val="bottom"/>
          </w:tcPr>
          <w:p w14:paraId="0A5BB72A">
            <w:pPr>
              <w:widowControl/>
              <w:jc w:val="center"/>
              <w:rPr>
                <w:color w:val="000000"/>
                <w:kern w:val="0"/>
              </w:rPr>
            </w:pPr>
            <w:r>
              <w:rPr>
                <w:color w:val="000000"/>
                <w:kern w:val="0"/>
              </w:rPr>
              <w:t xml:space="preserve">8055 </w:t>
            </w:r>
          </w:p>
        </w:tc>
      </w:tr>
      <w:tr w14:paraId="0E36279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23963655">
            <w:pPr>
              <w:widowControl/>
              <w:jc w:val="center"/>
              <w:rPr>
                <w:kern w:val="0"/>
              </w:rPr>
            </w:pPr>
            <w:r>
              <w:rPr>
                <w:kern w:val="0"/>
              </w:rPr>
              <w:t xml:space="preserve">泰 </w:t>
            </w:r>
            <w:r>
              <w:rPr>
                <w:rFonts w:eastAsia="汉仪报宋简"/>
                <w:kern w:val="0"/>
              </w:rPr>
              <w:t>安</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4AF2C53">
            <w:pPr>
              <w:widowControl/>
              <w:jc w:val="center"/>
              <w:rPr>
                <w:color w:val="000000"/>
                <w:kern w:val="0"/>
              </w:rPr>
            </w:pPr>
            <w:r>
              <w:rPr>
                <w:color w:val="000000"/>
                <w:kern w:val="0"/>
              </w:rPr>
              <w:t xml:space="preserve">7544.90 </w:t>
            </w:r>
          </w:p>
        </w:tc>
        <w:tc>
          <w:tcPr>
            <w:tcW w:w="1798" w:type="dxa"/>
            <w:tcBorders>
              <w:top w:val="nil"/>
              <w:left w:val="nil"/>
              <w:bottom w:val="nil"/>
              <w:right w:val="nil"/>
            </w:tcBorders>
            <w:tcMar>
              <w:left w:w="0" w:type="dxa"/>
              <w:right w:w="0" w:type="dxa"/>
            </w:tcMar>
            <w:vAlign w:val="bottom"/>
          </w:tcPr>
          <w:p w14:paraId="5F445700">
            <w:pPr>
              <w:widowControl/>
              <w:jc w:val="center"/>
              <w:rPr>
                <w:color w:val="000000"/>
                <w:kern w:val="0"/>
              </w:rPr>
            </w:pPr>
            <w:r>
              <w:rPr>
                <w:color w:val="000000"/>
                <w:kern w:val="0"/>
              </w:rPr>
              <w:t xml:space="preserve">5967 </w:t>
            </w:r>
          </w:p>
        </w:tc>
        <w:tc>
          <w:tcPr>
            <w:tcW w:w="1794" w:type="dxa"/>
            <w:tcBorders>
              <w:top w:val="nil"/>
              <w:left w:val="nil"/>
              <w:bottom w:val="nil"/>
              <w:right w:val="nil"/>
            </w:tcBorders>
            <w:tcMar>
              <w:left w:w="0" w:type="dxa"/>
              <w:right w:w="0" w:type="dxa"/>
            </w:tcMar>
            <w:vAlign w:val="bottom"/>
          </w:tcPr>
          <w:p w14:paraId="5BCA7596">
            <w:pPr>
              <w:widowControl/>
              <w:jc w:val="center"/>
              <w:rPr>
                <w:color w:val="000000"/>
                <w:kern w:val="0"/>
              </w:rPr>
            </w:pPr>
            <w:r>
              <w:rPr>
                <w:color w:val="000000"/>
                <w:kern w:val="0"/>
              </w:rPr>
              <w:t xml:space="preserve">7707 </w:t>
            </w:r>
          </w:p>
        </w:tc>
        <w:tc>
          <w:tcPr>
            <w:tcW w:w="1792" w:type="dxa"/>
            <w:tcBorders>
              <w:top w:val="nil"/>
              <w:left w:val="nil"/>
              <w:bottom w:val="nil"/>
              <w:right w:val="nil"/>
            </w:tcBorders>
            <w:tcMar>
              <w:left w:w="0" w:type="dxa"/>
              <w:right w:w="0" w:type="dxa"/>
            </w:tcMar>
            <w:vAlign w:val="bottom"/>
          </w:tcPr>
          <w:p w14:paraId="010DEC7D">
            <w:pPr>
              <w:widowControl/>
              <w:jc w:val="center"/>
              <w:rPr>
                <w:color w:val="000000"/>
                <w:kern w:val="0"/>
              </w:rPr>
            </w:pPr>
            <w:r>
              <w:rPr>
                <w:color w:val="000000"/>
                <w:kern w:val="0"/>
              </w:rPr>
              <w:t xml:space="preserve">8090 </w:t>
            </w:r>
          </w:p>
        </w:tc>
      </w:tr>
      <w:tr w14:paraId="516AECDC">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E999DD4">
            <w:pPr>
              <w:widowControl/>
              <w:jc w:val="center"/>
              <w:rPr>
                <w:kern w:val="0"/>
              </w:rPr>
            </w:pPr>
            <w:r>
              <w:rPr>
                <w:kern w:val="0"/>
              </w:rPr>
              <w:t xml:space="preserve">威 </w:t>
            </w:r>
            <w:r>
              <w:rPr>
                <w:rFonts w:eastAsia="汉仪报宋简"/>
                <w:kern w:val="0"/>
              </w:rPr>
              <w:t>海</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648A86A">
            <w:pPr>
              <w:widowControl/>
              <w:jc w:val="center"/>
              <w:rPr>
                <w:color w:val="000000"/>
                <w:kern w:val="0"/>
              </w:rPr>
            </w:pPr>
            <w:r>
              <w:rPr>
                <w:color w:val="000000"/>
                <w:kern w:val="0"/>
              </w:rPr>
              <w:t xml:space="preserve">6420.29 </w:t>
            </w:r>
          </w:p>
        </w:tc>
        <w:tc>
          <w:tcPr>
            <w:tcW w:w="1798" w:type="dxa"/>
            <w:tcBorders>
              <w:top w:val="nil"/>
              <w:left w:val="nil"/>
              <w:bottom w:val="nil"/>
              <w:right w:val="nil"/>
            </w:tcBorders>
            <w:tcMar>
              <w:left w:w="0" w:type="dxa"/>
              <w:right w:w="0" w:type="dxa"/>
            </w:tcMar>
            <w:vAlign w:val="bottom"/>
          </w:tcPr>
          <w:p w14:paraId="5C71DD4C">
            <w:pPr>
              <w:widowControl/>
              <w:jc w:val="center"/>
              <w:rPr>
                <w:color w:val="000000"/>
                <w:kern w:val="0"/>
              </w:rPr>
            </w:pPr>
            <w:r>
              <w:rPr>
                <w:color w:val="000000"/>
                <w:kern w:val="0"/>
              </w:rPr>
              <w:t xml:space="preserve">2900 </w:t>
            </w:r>
          </w:p>
        </w:tc>
        <w:tc>
          <w:tcPr>
            <w:tcW w:w="1794" w:type="dxa"/>
            <w:tcBorders>
              <w:top w:val="nil"/>
              <w:left w:val="nil"/>
              <w:bottom w:val="nil"/>
              <w:right w:val="nil"/>
            </w:tcBorders>
            <w:tcMar>
              <w:left w:w="0" w:type="dxa"/>
              <w:right w:w="0" w:type="dxa"/>
            </w:tcMar>
            <w:vAlign w:val="bottom"/>
          </w:tcPr>
          <w:p w14:paraId="174390F1">
            <w:pPr>
              <w:widowControl/>
              <w:jc w:val="center"/>
              <w:rPr>
                <w:color w:val="000000"/>
                <w:kern w:val="0"/>
              </w:rPr>
            </w:pPr>
            <w:r>
              <w:rPr>
                <w:color w:val="000000"/>
                <w:kern w:val="0"/>
              </w:rPr>
              <w:t xml:space="preserve">6762 </w:t>
            </w:r>
          </w:p>
        </w:tc>
        <w:tc>
          <w:tcPr>
            <w:tcW w:w="1792" w:type="dxa"/>
            <w:tcBorders>
              <w:top w:val="nil"/>
              <w:left w:val="nil"/>
              <w:bottom w:val="nil"/>
              <w:right w:val="nil"/>
            </w:tcBorders>
            <w:tcMar>
              <w:left w:w="0" w:type="dxa"/>
              <w:right w:w="0" w:type="dxa"/>
            </w:tcMar>
            <w:vAlign w:val="bottom"/>
          </w:tcPr>
          <w:p w14:paraId="161C2959">
            <w:pPr>
              <w:widowControl/>
              <w:jc w:val="center"/>
              <w:rPr>
                <w:color w:val="000000"/>
                <w:kern w:val="0"/>
              </w:rPr>
            </w:pPr>
            <w:r>
              <w:rPr>
                <w:color w:val="000000"/>
                <w:kern w:val="0"/>
              </w:rPr>
              <w:t xml:space="preserve">7382 </w:t>
            </w:r>
          </w:p>
        </w:tc>
      </w:tr>
      <w:tr w14:paraId="06BC0673">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0E0D903D">
            <w:pPr>
              <w:widowControl/>
              <w:jc w:val="center"/>
              <w:rPr>
                <w:kern w:val="0"/>
              </w:rPr>
            </w:pPr>
            <w:r>
              <w:rPr>
                <w:kern w:val="0"/>
              </w:rPr>
              <w:t xml:space="preserve">日 </w:t>
            </w:r>
            <w:r>
              <w:rPr>
                <w:rFonts w:eastAsia="汉仪报宋简"/>
                <w:kern w:val="0"/>
              </w:rPr>
              <w:t>照</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39631F3F">
            <w:pPr>
              <w:widowControl/>
              <w:jc w:val="center"/>
              <w:rPr>
                <w:color w:val="000000"/>
                <w:kern w:val="0"/>
              </w:rPr>
            </w:pPr>
            <w:r>
              <w:rPr>
                <w:color w:val="000000"/>
                <w:kern w:val="0"/>
              </w:rPr>
              <w:t xml:space="preserve">6418.19 </w:t>
            </w:r>
          </w:p>
        </w:tc>
        <w:tc>
          <w:tcPr>
            <w:tcW w:w="1798" w:type="dxa"/>
            <w:tcBorders>
              <w:top w:val="nil"/>
              <w:left w:val="nil"/>
              <w:bottom w:val="nil"/>
              <w:right w:val="nil"/>
            </w:tcBorders>
            <w:tcMar>
              <w:left w:w="0" w:type="dxa"/>
              <w:right w:w="0" w:type="dxa"/>
            </w:tcMar>
            <w:vAlign w:val="bottom"/>
          </w:tcPr>
          <w:p w14:paraId="2AB2785F">
            <w:pPr>
              <w:widowControl/>
              <w:jc w:val="center"/>
              <w:rPr>
                <w:color w:val="000000"/>
                <w:kern w:val="0"/>
              </w:rPr>
            </w:pPr>
            <w:r>
              <w:rPr>
                <w:color w:val="000000"/>
                <w:kern w:val="0"/>
              </w:rPr>
              <w:t xml:space="preserve">4569 </w:t>
            </w:r>
          </w:p>
        </w:tc>
        <w:tc>
          <w:tcPr>
            <w:tcW w:w="1794" w:type="dxa"/>
            <w:tcBorders>
              <w:top w:val="nil"/>
              <w:left w:val="nil"/>
              <w:bottom w:val="nil"/>
              <w:right w:val="nil"/>
            </w:tcBorders>
            <w:tcMar>
              <w:left w:w="0" w:type="dxa"/>
              <w:right w:w="0" w:type="dxa"/>
            </w:tcMar>
            <w:vAlign w:val="bottom"/>
          </w:tcPr>
          <w:p w14:paraId="1BC0AF1A">
            <w:pPr>
              <w:widowControl/>
              <w:jc w:val="center"/>
              <w:rPr>
                <w:color w:val="000000"/>
                <w:kern w:val="0"/>
              </w:rPr>
            </w:pPr>
            <w:r>
              <w:rPr>
                <w:color w:val="000000"/>
                <w:kern w:val="0"/>
              </w:rPr>
              <w:t xml:space="preserve">6571 </w:t>
            </w:r>
          </w:p>
        </w:tc>
        <w:tc>
          <w:tcPr>
            <w:tcW w:w="1792" w:type="dxa"/>
            <w:tcBorders>
              <w:top w:val="nil"/>
              <w:left w:val="nil"/>
              <w:bottom w:val="nil"/>
              <w:right w:val="nil"/>
            </w:tcBorders>
            <w:tcMar>
              <w:left w:w="0" w:type="dxa"/>
              <w:right w:w="0" w:type="dxa"/>
            </w:tcMar>
            <w:vAlign w:val="bottom"/>
          </w:tcPr>
          <w:p w14:paraId="4A0A4313">
            <w:pPr>
              <w:widowControl/>
              <w:jc w:val="center"/>
              <w:rPr>
                <w:color w:val="000000"/>
                <w:kern w:val="0"/>
              </w:rPr>
            </w:pPr>
            <w:r>
              <w:rPr>
                <w:color w:val="000000"/>
                <w:kern w:val="0"/>
              </w:rPr>
              <w:t xml:space="preserve">7671 </w:t>
            </w:r>
          </w:p>
        </w:tc>
      </w:tr>
      <w:tr w14:paraId="5DD20F19">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76501562">
            <w:pPr>
              <w:widowControl/>
              <w:jc w:val="center"/>
              <w:rPr>
                <w:kern w:val="0"/>
              </w:rPr>
            </w:pPr>
            <w:r>
              <w:rPr>
                <w:kern w:val="0"/>
              </w:rPr>
              <w:t xml:space="preserve">莱 </w:t>
            </w:r>
            <w:r>
              <w:rPr>
                <w:rFonts w:eastAsia="汉仪报宋简"/>
                <w:kern w:val="0"/>
              </w:rPr>
              <w:t>芜</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95145DC">
            <w:pPr>
              <w:widowControl/>
              <w:jc w:val="center"/>
              <w:rPr>
                <w:color w:val="000000"/>
                <w:kern w:val="0"/>
              </w:rPr>
            </w:pPr>
            <w:r>
              <w:rPr>
                <w:color w:val="000000"/>
                <w:kern w:val="0"/>
              </w:rPr>
              <w:t xml:space="preserve">6530.48 </w:t>
            </w:r>
          </w:p>
        </w:tc>
        <w:tc>
          <w:tcPr>
            <w:tcW w:w="1798" w:type="dxa"/>
            <w:tcBorders>
              <w:top w:val="nil"/>
              <w:left w:val="nil"/>
              <w:bottom w:val="nil"/>
              <w:right w:val="nil"/>
            </w:tcBorders>
            <w:tcMar>
              <w:left w:w="0" w:type="dxa"/>
              <w:right w:w="0" w:type="dxa"/>
            </w:tcMar>
            <w:vAlign w:val="bottom"/>
          </w:tcPr>
          <w:p w14:paraId="3DF21377">
            <w:pPr>
              <w:widowControl/>
              <w:jc w:val="center"/>
              <w:rPr>
                <w:color w:val="000000"/>
                <w:kern w:val="0"/>
              </w:rPr>
            </w:pPr>
            <w:r>
              <w:rPr>
                <w:color w:val="000000"/>
                <w:kern w:val="0"/>
              </w:rPr>
              <w:t>4942</w:t>
            </w:r>
          </w:p>
        </w:tc>
        <w:tc>
          <w:tcPr>
            <w:tcW w:w="1794" w:type="dxa"/>
            <w:tcBorders>
              <w:top w:val="nil"/>
              <w:left w:val="nil"/>
              <w:bottom w:val="nil"/>
              <w:right w:val="nil"/>
            </w:tcBorders>
            <w:tcMar>
              <w:left w:w="0" w:type="dxa"/>
              <w:right w:w="0" w:type="dxa"/>
            </w:tcMar>
            <w:vAlign w:val="bottom"/>
          </w:tcPr>
          <w:p w14:paraId="0AE19087">
            <w:pPr>
              <w:widowControl/>
              <w:jc w:val="center"/>
              <w:rPr>
                <w:color w:val="000000"/>
                <w:kern w:val="0"/>
              </w:rPr>
            </w:pPr>
            <w:r>
              <w:rPr>
                <w:color w:val="000000"/>
                <w:kern w:val="0"/>
              </w:rPr>
              <w:t>5836</w:t>
            </w:r>
          </w:p>
        </w:tc>
        <w:tc>
          <w:tcPr>
            <w:tcW w:w="1792" w:type="dxa"/>
            <w:tcBorders>
              <w:top w:val="nil"/>
              <w:left w:val="nil"/>
              <w:bottom w:val="nil"/>
              <w:right w:val="nil"/>
            </w:tcBorders>
            <w:tcMar>
              <w:left w:w="0" w:type="dxa"/>
              <w:right w:w="0" w:type="dxa"/>
            </w:tcMar>
            <w:vAlign w:val="bottom"/>
          </w:tcPr>
          <w:p w14:paraId="0A724BC9">
            <w:pPr>
              <w:widowControl/>
              <w:jc w:val="center"/>
              <w:rPr>
                <w:color w:val="000000"/>
                <w:kern w:val="0"/>
              </w:rPr>
            </w:pPr>
            <w:r>
              <w:rPr>
                <w:color w:val="000000"/>
                <w:kern w:val="0"/>
              </w:rPr>
              <w:t xml:space="preserve">9369 </w:t>
            </w:r>
          </w:p>
        </w:tc>
      </w:tr>
      <w:tr w14:paraId="6BF0E8B4">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5E9A0AF2">
            <w:pPr>
              <w:widowControl/>
              <w:jc w:val="center"/>
              <w:rPr>
                <w:kern w:val="0"/>
              </w:rPr>
            </w:pPr>
            <w:r>
              <w:rPr>
                <w:kern w:val="0"/>
              </w:rPr>
              <w:t xml:space="preserve">临 </w:t>
            </w:r>
            <w:r>
              <w:rPr>
                <w:rFonts w:eastAsia="汉仪报宋简"/>
                <w:kern w:val="0"/>
              </w:rPr>
              <w:t>沂</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6A2D016">
            <w:pPr>
              <w:widowControl/>
              <w:jc w:val="center"/>
              <w:rPr>
                <w:color w:val="000000"/>
                <w:kern w:val="0"/>
              </w:rPr>
            </w:pPr>
            <w:r>
              <w:rPr>
                <w:color w:val="000000"/>
                <w:kern w:val="0"/>
              </w:rPr>
              <w:t xml:space="preserve">5867.29 </w:t>
            </w:r>
          </w:p>
        </w:tc>
        <w:tc>
          <w:tcPr>
            <w:tcW w:w="1798" w:type="dxa"/>
            <w:tcBorders>
              <w:top w:val="nil"/>
              <w:left w:val="nil"/>
              <w:bottom w:val="nil"/>
              <w:right w:val="nil"/>
            </w:tcBorders>
            <w:tcMar>
              <w:left w:w="0" w:type="dxa"/>
              <w:right w:w="0" w:type="dxa"/>
            </w:tcMar>
            <w:vAlign w:val="bottom"/>
          </w:tcPr>
          <w:p w14:paraId="3F15C498">
            <w:pPr>
              <w:widowControl/>
              <w:jc w:val="center"/>
              <w:rPr>
                <w:color w:val="000000"/>
                <w:kern w:val="0"/>
              </w:rPr>
            </w:pPr>
            <w:r>
              <w:rPr>
                <w:color w:val="000000"/>
                <w:kern w:val="0"/>
              </w:rPr>
              <w:t xml:space="preserve">4545 </w:t>
            </w:r>
          </w:p>
        </w:tc>
        <w:tc>
          <w:tcPr>
            <w:tcW w:w="1794" w:type="dxa"/>
            <w:tcBorders>
              <w:top w:val="nil"/>
              <w:left w:val="nil"/>
              <w:bottom w:val="nil"/>
              <w:right w:val="nil"/>
            </w:tcBorders>
            <w:tcMar>
              <w:left w:w="0" w:type="dxa"/>
              <w:right w:w="0" w:type="dxa"/>
            </w:tcMar>
            <w:vAlign w:val="bottom"/>
          </w:tcPr>
          <w:p w14:paraId="4123C493">
            <w:pPr>
              <w:widowControl/>
              <w:jc w:val="center"/>
              <w:rPr>
                <w:color w:val="000000"/>
                <w:kern w:val="0"/>
              </w:rPr>
            </w:pPr>
            <w:r>
              <w:rPr>
                <w:color w:val="000000"/>
                <w:kern w:val="0"/>
              </w:rPr>
              <w:t xml:space="preserve">5862 </w:t>
            </w:r>
          </w:p>
        </w:tc>
        <w:tc>
          <w:tcPr>
            <w:tcW w:w="1792" w:type="dxa"/>
            <w:tcBorders>
              <w:top w:val="nil"/>
              <w:left w:val="nil"/>
              <w:bottom w:val="nil"/>
              <w:right w:val="nil"/>
            </w:tcBorders>
            <w:tcMar>
              <w:left w:w="0" w:type="dxa"/>
              <w:right w:w="0" w:type="dxa"/>
            </w:tcMar>
            <w:vAlign w:val="bottom"/>
          </w:tcPr>
          <w:p w14:paraId="14390E93">
            <w:pPr>
              <w:widowControl/>
              <w:jc w:val="center"/>
              <w:rPr>
                <w:color w:val="000000"/>
                <w:kern w:val="0"/>
              </w:rPr>
            </w:pPr>
            <w:r>
              <w:rPr>
                <w:color w:val="000000"/>
                <w:kern w:val="0"/>
              </w:rPr>
              <w:t xml:space="preserve">6947 </w:t>
            </w:r>
          </w:p>
        </w:tc>
      </w:tr>
      <w:tr w14:paraId="14B9EF5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141C304A">
            <w:pPr>
              <w:widowControl/>
              <w:jc w:val="center"/>
              <w:rPr>
                <w:kern w:val="0"/>
              </w:rPr>
            </w:pPr>
            <w:r>
              <w:rPr>
                <w:kern w:val="0"/>
              </w:rPr>
              <w:t xml:space="preserve">德 </w:t>
            </w:r>
            <w:r>
              <w:rPr>
                <w:rFonts w:eastAsia="汉仪报宋简"/>
                <w:kern w:val="0"/>
              </w:rPr>
              <w:t>州</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187533C5">
            <w:pPr>
              <w:widowControl/>
              <w:jc w:val="center"/>
              <w:rPr>
                <w:color w:val="000000"/>
                <w:kern w:val="0"/>
              </w:rPr>
            </w:pPr>
            <w:r>
              <w:rPr>
                <w:color w:val="000000"/>
                <w:kern w:val="0"/>
              </w:rPr>
              <w:t xml:space="preserve">6954.57 </w:t>
            </w:r>
          </w:p>
        </w:tc>
        <w:tc>
          <w:tcPr>
            <w:tcW w:w="1798" w:type="dxa"/>
            <w:tcBorders>
              <w:top w:val="nil"/>
              <w:left w:val="nil"/>
              <w:bottom w:val="nil"/>
              <w:right w:val="nil"/>
            </w:tcBorders>
            <w:tcMar>
              <w:left w:w="0" w:type="dxa"/>
              <w:right w:w="0" w:type="dxa"/>
            </w:tcMar>
            <w:vAlign w:val="bottom"/>
          </w:tcPr>
          <w:p w14:paraId="634FB879">
            <w:pPr>
              <w:widowControl/>
              <w:jc w:val="center"/>
              <w:rPr>
                <w:color w:val="000000"/>
                <w:kern w:val="0"/>
              </w:rPr>
            </w:pPr>
            <w:r>
              <w:rPr>
                <w:color w:val="000000"/>
                <w:kern w:val="0"/>
              </w:rPr>
              <w:t xml:space="preserve">5222 </w:t>
            </w:r>
          </w:p>
        </w:tc>
        <w:tc>
          <w:tcPr>
            <w:tcW w:w="1794" w:type="dxa"/>
            <w:tcBorders>
              <w:top w:val="nil"/>
              <w:left w:val="nil"/>
              <w:bottom w:val="nil"/>
              <w:right w:val="nil"/>
            </w:tcBorders>
            <w:tcMar>
              <w:left w:w="0" w:type="dxa"/>
              <w:right w:w="0" w:type="dxa"/>
            </w:tcMar>
            <w:vAlign w:val="bottom"/>
          </w:tcPr>
          <w:p w14:paraId="0464E4BC">
            <w:pPr>
              <w:widowControl/>
              <w:jc w:val="center"/>
              <w:rPr>
                <w:color w:val="000000"/>
                <w:kern w:val="0"/>
              </w:rPr>
            </w:pPr>
            <w:r>
              <w:rPr>
                <w:color w:val="000000"/>
                <w:kern w:val="0"/>
              </w:rPr>
              <w:t xml:space="preserve">6979 </w:t>
            </w:r>
          </w:p>
        </w:tc>
        <w:tc>
          <w:tcPr>
            <w:tcW w:w="1792" w:type="dxa"/>
            <w:tcBorders>
              <w:top w:val="nil"/>
              <w:left w:val="nil"/>
              <w:bottom w:val="nil"/>
              <w:right w:val="nil"/>
            </w:tcBorders>
            <w:tcMar>
              <w:left w:w="0" w:type="dxa"/>
              <w:right w:w="0" w:type="dxa"/>
            </w:tcMar>
            <w:vAlign w:val="bottom"/>
          </w:tcPr>
          <w:p w14:paraId="2DA7AD8E">
            <w:pPr>
              <w:widowControl/>
              <w:jc w:val="center"/>
              <w:rPr>
                <w:color w:val="000000"/>
                <w:kern w:val="0"/>
              </w:rPr>
            </w:pPr>
            <w:r>
              <w:rPr>
                <w:color w:val="000000"/>
                <w:kern w:val="0"/>
              </w:rPr>
              <w:t xml:space="preserve">8401 </w:t>
            </w:r>
          </w:p>
        </w:tc>
      </w:tr>
      <w:tr w14:paraId="1C16F60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3C1F8C69">
            <w:pPr>
              <w:widowControl/>
              <w:jc w:val="center"/>
              <w:rPr>
                <w:kern w:val="0"/>
              </w:rPr>
            </w:pPr>
            <w:r>
              <w:rPr>
                <w:kern w:val="0"/>
              </w:rPr>
              <w:t xml:space="preserve">聊 </w:t>
            </w:r>
            <w:r>
              <w:rPr>
                <w:rFonts w:eastAsia="汉仪报宋简"/>
                <w:kern w:val="0"/>
              </w:rPr>
              <w:t>城</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215A6DA4">
            <w:pPr>
              <w:widowControl/>
              <w:jc w:val="center"/>
              <w:rPr>
                <w:color w:val="000000"/>
                <w:kern w:val="0"/>
              </w:rPr>
            </w:pPr>
            <w:r>
              <w:rPr>
                <w:color w:val="000000"/>
                <w:kern w:val="0"/>
              </w:rPr>
              <w:t xml:space="preserve">5991.76 </w:t>
            </w:r>
          </w:p>
        </w:tc>
        <w:tc>
          <w:tcPr>
            <w:tcW w:w="1798" w:type="dxa"/>
            <w:tcBorders>
              <w:top w:val="nil"/>
              <w:left w:val="nil"/>
              <w:bottom w:val="nil"/>
              <w:right w:val="nil"/>
            </w:tcBorders>
            <w:tcMar>
              <w:left w:w="0" w:type="dxa"/>
              <w:right w:w="0" w:type="dxa"/>
            </w:tcMar>
            <w:vAlign w:val="bottom"/>
          </w:tcPr>
          <w:p w14:paraId="252CE9B9">
            <w:pPr>
              <w:widowControl/>
              <w:jc w:val="center"/>
              <w:rPr>
                <w:color w:val="000000"/>
                <w:kern w:val="0"/>
              </w:rPr>
            </w:pPr>
            <w:r>
              <w:rPr>
                <w:color w:val="000000"/>
                <w:kern w:val="0"/>
              </w:rPr>
              <w:t xml:space="preserve">4386 </w:t>
            </w:r>
          </w:p>
        </w:tc>
        <w:tc>
          <w:tcPr>
            <w:tcW w:w="1794" w:type="dxa"/>
            <w:tcBorders>
              <w:top w:val="nil"/>
              <w:left w:val="nil"/>
              <w:bottom w:val="nil"/>
              <w:right w:val="nil"/>
            </w:tcBorders>
            <w:tcMar>
              <w:left w:w="0" w:type="dxa"/>
              <w:right w:w="0" w:type="dxa"/>
            </w:tcMar>
            <w:vAlign w:val="bottom"/>
          </w:tcPr>
          <w:p w14:paraId="470F1A13">
            <w:pPr>
              <w:widowControl/>
              <w:jc w:val="center"/>
              <w:rPr>
                <w:color w:val="000000"/>
                <w:kern w:val="0"/>
              </w:rPr>
            </w:pPr>
            <w:r>
              <w:rPr>
                <w:color w:val="000000"/>
                <w:kern w:val="0"/>
              </w:rPr>
              <w:t xml:space="preserve">6249 </w:t>
            </w:r>
          </w:p>
        </w:tc>
        <w:tc>
          <w:tcPr>
            <w:tcW w:w="1792" w:type="dxa"/>
            <w:tcBorders>
              <w:top w:val="nil"/>
              <w:left w:val="nil"/>
              <w:bottom w:val="nil"/>
              <w:right w:val="nil"/>
            </w:tcBorders>
            <w:tcMar>
              <w:left w:w="0" w:type="dxa"/>
              <w:right w:w="0" w:type="dxa"/>
            </w:tcMar>
            <w:vAlign w:val="bottom"/>
          </w:tcPr>
          <w:p w14:paraId="296829C3">
            <w:pPr>
              <w:widowControl/>
              <w:jc w:val="center"/>
              <w:rPr>
                <w:color w:val="000000"/>
                <w:kern w:val="0"/>
              </w:rPr>
            </w:pPr>
            <w:r>
              <w:rPr>
                <w:color w:val="000000"/>
                <w:kern w:val="0"/>
              </w:rPr>
              <w:t xml:space="preserve">7004 </w:t>
            </w:r>
          </w:p>
        </w:tc>
      </w:tr>
      <w:tr w14:paraId="54EC14D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37E962BB">
            <w:pPr>
              <w:widowControl/>
              <w:jc w:val="center"/>
              <w:rPr>
                <w:kern w:val="0"/>
              </w:rPr>
            </w:pPr>
            <w:r>
              <w:rPr>
                <w:kern w:val="0"/>
              </w:rPr>
              <w:t xml:space="preserve">滨 </w:t>
            </w:r>
            <w:r>
              <w:rPr>
                <w:rFonts w:eastAsia="汉仪报宋简"/>
                <w:kern w:val="0"/>
              </w:rPr>
              <w:t>州</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0F7D60E6">
            <w:pPr>
              <w:widowControl/>
              <w:jc w:val="center"/>
              <w:rPr>
                <w:color w:val="000000"/>
                <w:kern w:val="0"/>
              </w:rPr>
            </w:pPr>
            <w:r>
              <w:rPr>
                <w:color w:val="000000"/>
                <w:kern w:val="0"/>
              </w:rPr>
              <w:t xml:space="preserve">6015.95 </w:t>
            </w:r>
          </w:p>
        </w:tc>
        <w:tc>
          <w:tcPr>
            <w:tcW w:w="1798" w:type="dxa"/>
            <w:tcBorders>
              <w:top w:val="nil"/>
              <w:left w:val="nil"/>
              <w:bottom w:val="nil"/>
              <w:right w:val="nil"/>
            </w:tcBorders>
            <w:tcMar>
              <w:left w:w="0" w:type="dxa"/>
              <w:right w:w="0" w:type="dxa"/>
            </w:tcMar>
            <w:vAlign w:val="bottom"/>
          </w:tcPr>
          <w:p w14:paraId="57FB1D89">
            <w:pPr>
              <w:widowControl/>
              <w:jc w:val="center"/>
              <w:rPr>
                <w:color w:val="000000"/>
                <w:kern w:val="0"/>
              </w:rPr>
            </w:pPr>
            <w:r>
              <w:rPr>
                <w:color w:val="000000"/>
                <w:kern w:val="0"/>
              </w:rPr>
              <w:t xml:space="preserve">3279 </w:t>
            </w:r>
          </w:p>
        </w:tc>
        <w:tc>
          <w:tcPr>
            <w:tcW w:w="1794" w:type="dxa"/>
            <w:tcBorders>
              <w:top w:val="nil"/>
              <w:left w:val="nil"/>
              <w:bottom w:val="nil"/>
              <w:right w:val="nil"/>
            </w:tcBorders>
            <w:tcMar>
              <w:left w:w="0" w:type="dxa"/>
              <w:right w:w="0" w:type="dxa"/>
            </w:tcMar>
            <w:vAlign w:val="bottom"/>
          </w:tcPr>
          <w:p w14:paraId="57A903A2">
            <w:pPr>
              <w:widowControl/>
              <w:jc w:val="center"/>
              <w:rPr>
                <w:color w:val="000000"/>
                <w:kern w:val="0"/>
              </w:rPr>
            </w:pPr>
            <w:r>
              <w:rPr>
                <w:color w:val="000000"/>
                <w:kern w:val="0"/>
              </w:rPr>
              <w:t xml:space="preserve">5858 </w:t>
            </w:r>
          </w:p>
        </w:tc>
        <w:tc>
          <w:tcPr>
            <w:tcW w:w="1792" w:type="dxa"/>
            <w:tcBorders>
              <w:top w:val="nil"/>
              <w:left w:val="nil"/>
              <w:bottom w:val="nil"/>
              <w:right w:val="nil"/>
            </w:tcBorders>
            <w:tcMar>
              <w:left w:w="0" w:type="dxa"/>
              <w:right w:w="0" w:type="dxa"/>
            </w:tcMar>
            <w:vAlign w:val="bottom"/>
          </w:tcPr>
          <w:p w14:paraId="09FD4927">
            <w:pPr>
              <w:widowControl/>
              <w:jc w:val="center"/>
              <w:rPr>
                <w:color w:val="000000"/>
                <w:kern w:val="0"/>
              </w:rPr>
            </w:pPr>
            <w:r>
              <w:rPr>
                <w:color w:val="000000"/>
                <w:kern w:val="0"/>
              </w:rPr>
              <w:t xml:space="preserve">7392 </w:t>
            </w:r>
          </w:p>
        </w:tc>
      </w:tr>
      <w:tr w14:paraId="5BFF2101">
        <w:tblPrEx>
          <w:tblCellMar>
            <w:top w:w="0" w:type="dxa"/>
            <w:left w:w="108" w:type="dxa"/>
            <w:bottom w:w="0" w:type="dxa"/>
            <w:right w:w="108" w:type="dxa"/>
          </w:tblCellMar>
        </w:tblPrEx>
        <w:trPr>
          <w:trHeight w:val="315" w:hRule="atLeast"/>
          <w:jc w:val="center"/>
        </w:trPr>
        <w:tc>
          <w:tcPr>
            <w:tcW w:w="2104" w:type="dxa"/>
            <w:tcBorders>
              <w:top w:val="nil"/>
              <w:left w:val="nil"/>
              <w:bottom w:val="single" w:color="auto" w:sz="12" w:space="0"/>
              <w:right w:val="nil"/>
            </w:tcBorders>
            <w:tcMar>
              <w:left w:w="0" w:type="dxa"/>
              <w:right w:w="0" w:type="dxa"/>
            </w:tcMar>
            <w:vAlign w:val="center"/>
          </w:tcPr>
          <w:p w14:paraId="7FE8545E">
            <w:pPr>
              <w:widowControl/>
              <w:jc w:val="center"/>
              <w:rPr>
                <w:kern w:val="0"/>
              </w:rPr>
            </w:pPr>
            <w:commentRangeStart w:id="22"/>
            <w:r>
              <w:rPr>
                <w:kern w:val="0"/>
              </w:rPr>
              <w:t xml:space="preserve">菏 </w:t>
            </w:r>
            <w:r>
              <w:rPr>
                <w:rFonts w:eastAsia="汉仪报宋简"/>
                <w:kern w:val="0"/>
              </w:rPr>
              <w:t>泽</w:t>
            </w:r>
            <w:r>
              <w:rPr>
                <w:kern w:val="0"/>
              </w:rPr>
              <w:t xml:space="preserve"> </w:t>
            </w:r>
            <w:r>
              <w:rPr>
                <w:rFonts w:eastAsia="汉仪报宋简"/>
                <w:kern w:val="0"/>
              </w:rPr>
              <w:t>市</w:t>
            </w:r>
          </w:p>
        </w:tc>
        <w:tc>
          <w:tcPr>
            <w:tcW w:w="1798" w:type="dxa"/>
            <w:tcBorders>
              <w:top w:val="nil"/>
              <w:left w:val="nil"/>
              <w:bottom w:val="single" w:color="auto" w:sz="12" w:space="0"/>
              <w:right w:val="nil"/>
            </w:tcBorders>
            <w:tcMar>
              <w:left w:w="0" w:type="dxa"/>
              <w:right w:w="0" w:type="dxa"/>
            </w:tcMar>
            <w:vAlign w:val="bottom"/>
          </w:tcPr>
          <w:p w14:paraId="0EF9994E">
            <w:pPr>
              <w:widowControl/>
              <w:jc w:val="center"/>
              <w:rPr>
                <w:color w:val="000000"/>
                <w:kern w:val="0"/>
              </w:rPr>
            </w:pPr>
            <w:r>
              <w:rPr>
                <w:color w:val="000000"/>
                <w:kern w:val="0"/>
              </w:rPr>
              <w:t xml:space="preserve">5543.95 </w:t>
            </w:r>
          </w:p>
        </w:tc>
        <w:tc>
          <w:tcPr>
            <w:tcW w:w="1798" w:type="dxa"/>
            <w:tcBorders>
              <w:top w:val="nil"/>
              <w:left w:val="nil"/>
              <w:bottom w:val="single" w:color="auto" w:sz="12" w:space="0"/>
              <w:right w:val="nil"/>
            </w:tcBorders>
            <w:tcMar>
              <w:left w:w="0" w:type="dxa"/>
              <w:right w:w="0" w:type="dxa"/>
            </w:tcMar>
            <w:vAlign w:val="bottom"/>
          </w:tcPr>
          <w:p w14:paraId="187B0241">
            <w:pPr>
              <w:widowControl/>
              <w:jc w:val="center"/>
              <w:rPr>
                <w:color w:val="000000"/>
                <w:kern w:val="0"/>
              </w:rPr>
            </w:pPr>
            <w:r>
              <w:rPr>
                <w:color w:val="000000"/>
                <w:kern w:val="0"/>
              </w:rPr>
              <w:t xml:space="preserve">4408 </w:t>
            </w:r>
          </w:p>
        </w:tc>
        <w:tc>
          <w:tcPr>
            <w:tcW w:w="1794" w:type="dxa"/>
            <w:tcBorders>
              <w:top w:val="nil"/>
              <w:left w:val="nil"/>
              <w:bottom w:val="single" w:color="auto" w:sz="12" w:space="0"/>
              <w:right w:val="nil"/>
            </w:tcBorders>
            <w:tcMar>
              <w:left w:w="0" w:type="dxa"/>
              <w:right w:w="0" w:type="dxa"/>
            </w:tcMar>
            <w:vAlign w:val="bottom"/>
          </w:tcPr>
          <w:p w14:paraId="421244F1">
            <w:pPr>
              <w:widowControl/>
              <w:jc w:val="center"/>
              <w:rPr>
                <w:color w:val="000000"/>
                <w:kern w:val="0"/>
              </w:rPr>
            </w:pPr>
            <w:r>
              <w:rPr>
                <w:color w:val="000000"/>
                <w:kern w:val="0"/>
              </w:rPr>
              <w:t xml:space="preserve">5646 </w:t>
            </w:r>
          </w:p>
        </w:tc>
        <w:tc>
          <w:tcPr>
            <w:tcW w:w="1792" w:type="dxa"/>
            <w:tcBorders>
              <w:top w:val="nil"/>
              <w:left w:val="nil"/>
              <w:bottom w:val="single" w:color="auto" w:sz="12" w:space="0"/>
              <w:right w:val="nil"/>
            </w:tcBorders>
            <w:tcMar>
              <w:left w:w="0" w:type="dxa"/>
              <w:right w:w="0" w:type="dxa"/>
            </w:tcMar>
            <w:vAlign w:val="bottom"/>
          </w:tcPr>
          <w:p w14:paraId="51EB9669">
            <w:pPr>
              <w:widowControl/>
              <w:jc w:val="center"/>
              <w:rPr>
                <w:color w:val="000000"/>
                <w:kern w:val="0"/>
              </w:rPr>
            </w:pPr>
            <w:r>
              <w:rPr>
                <w:color w:val="000000"/>
                <w:kern w:val="0"/>
              </w:rPr>
              <w:t xml:space="preserve">6269 </w:t>
            </w:r>
            <w:commentRangeEnd w:id="22"/>
            <w:r>
              <w:rPr>
                <w:rStyle w:val="33"/>
              </w:rPr>
              <w:commentReference w:id="22"/>
            </w:r>
          </w:p>
        </w:tc>
      </w:tr>
    </w:tbl>
    <w:p w14:paraId="65A1FBC7">
      <w:pPr>
        <w:snapToGrid w:val="0"/>
        <w:spacing w:line="360" w:lineRule="auto"/>
        <w:ind w:firstLine="411" w:firstLineChars="196"/>
      </w:pPr>
      <w:commentRangeStart w:id="23"/>
      <w:r>
        <w:rPr>
          <w:rFonts w:hint="eastAsia"/>
        </w:rPr>
        <w:t>数据来源：山东省统计鉴（农业篇），2001-2015。</w:t>
      </w:r>
      <w:commentRangeEnd w:id="23"/>
      <w:r>
        <w:rPr>
          <w:rStyle w:val="33"/>
        </w:rPr>
        <w:commentReference w:id="23"/>
      </w:r>
    </w:p>
    <w:p w14:paraId="7885E2C7">
      <w:pPr>
        <w:snapToGrid w:val="0"/>
        <w:spacing w:line="300" w:lineRule="auto"/>
        <w:jc w:val="center"/>
        <w:rPr>
          <w:rFonts w:eastAsia="黑体"/>
        </w:rPr>
      </w:pPr>
    </w:p>
    <w:p w14:paraId="4359D9C3">
      <w:pPr>
        <w:snapToGrid w:val="0"/>
        <w:spacing w:line="300" w:lineRule="auto"/>
        <w:jc w:val="center"/>
        <w:rPr>
          <w:rFonts w:eastAsia="黑体"/>
        </w:rPr>
      </w:pPr>
    </w:p>
    <w:p w14:paraId="6903F636">
      <w:pPr>
        <w:snapToGrid w:val="0"/>
        <w:spacing w:line="300" w:lineRule="auto"/>
        <w:jc w:val="center"/>
        <w:rPr>
          <w:rFonts w:eastAsia="黑体"/>
        </w:rPr>
      </w:pPr>
    </w:p>
    <w:p w14:paraId="580976CB">
      <w:pPr>
        <w:snapToGrid w:val="0"/>
        <w:spacing w:line="300" w:lineRule="auto"/>
        <w:jc w:val="center"/>
        <w:rPr>
          <w:rFonts w:eastAsia="黑体"/>
        </w:rPr>
      </w:pPr>
    </w:p>
    <w:p w14:paraId="7E1F2947">
      <w:pPr>
        <w:snapToGrid w:val="0"/>
        <w:jc w:val="center"/>
        <w:rPr>
          <w:rFonts w:ascii="黑体" w:eastAsia="黑体"/>
          <w:color w:val="000000"/>
        </w:rPr>
      </w:pPr>
      <w:r>
        <w:rPr>
          <w:rFonts w:hint="eastAsia" w:ascii="黑体" w:eastAsia="黑体"/>
          <w:color w:val="000000"/>
        </w:rPr>
        <w:t>表5.2 德州市玉米价格与产量统计表</w:t>
      </w:r>
    </w:p>
    <w:p w14:paraId="0C7F7957">
      <w:pPr>
        <w:snapToGrid w:val="0"/>
        <w:jc w:val="center"/>
        <w:rPr>
          <w:rFonts w:ascii="黑体" w:eastAsia="黑体"/>
          <w:color w:val="000000"/>
        </w:rPr>
      </w:pPr>
      <w:r>
        <w:rPr>
          <w:rFonts w:hint="eastAsia" w:eastAsia="黑体"/>
        </w:rPr>
        <w:t>Tab.5.2 Corn Price and yield of dezhou</w:t>
      </w:r>
    </w:p>
    <w:tbl>
      <w:tblPr>
        <w:tblStyle w:val="29"/>
        <w:tblW w:w="9126" w:type="dxa"/>
        <w:jc w:val="center"/>
        <w:tblLayout w:type="fixed"/>
        <w:tblCellMar>
          <w:top w:w="0" w:type="dxa"/>
          <w:left w:w="108" w:type="dxa"/>
          <w:bottom w:w="0" w:type="dxa"/>
          <w:right w:w="108" w:type="dxa"/>
        </w:tblCellMar>
      </w:tblPr>
      <w:tblGrid>
        <w:gridCol w:w="2680"/>
        <w:gridCol w:w="3621"/>
        <w:gridCol w:w="2825"/>
      </w:tblGrid>
      <w:tr w14:paraId="493A8C3E">
        <w:tblPrEx>
          <w:tblCellMar>
            <w:top w:w="0" w:type="dxa"/>
            <w:left w:w="108" w:type="dxa"/>
            <w:bottom w:w="0" w:type="dxa"/>
            <w:right w:w="108" w:type="dxa"/>
          </w:tblCellMar>
        </w:tblPrEx>
        <w:trPr>
          <w:trHeight w:val="285" w:hRule="atLeast"/>
          <w:jc w:val="center"/>
        </w:trPr>
        <w:tc>
          <w:tcPr>
            <w:tcW w:w="2680" w:type="dxa"/>
            <w:tcBorders>
              <w:top w:val="single" w:color="auto" w:sz="12" w:space="0"/>
              <w:left w:val="nil"/>
              <w:bottom w:val="single" w:color="auto" w:sz="8" w:space="0"/>
              <w:right w:val="nil"/>
            </w:tcBorders>
            <w:tcMar>
              <w:left w:w="28" w:type="dxa"/>
              <w:right w:w="28" w:type="dxa"/>
            </w:tcMar>
            <w:vAlign w:val="bottom"/>
          </w:tcPr>
          <w:p w14:paraId="115EAB7E">
            <w:pPr>
              <w:widowControl/>
              <w:jc w:val="center"/>
              <w:rPr>
                <w:rFonts w:ascii="宋体" w:hAnsi="宋体" w:cs="宋体"/>
                <w:kern w:val="0"/>
              </w:rPr>
            </w:pPr>
            <w:commentRangeStart w:id="24"/>
            <w:r>
              <w:rPr>
                <w:rFonts w:hint="eastAsia" w:ascii="宋体" w:hAnsi="宋体" w:cs="宋体"/>
                <w:kern w:val="0"/>
              </w:rPr>
              <w:t>年份(年)</w:t>
            </w:r>
          </w:p>
        </w:tc>
        <w:tc>
          <w:tcPr>
            <w:tcW w:w="3621" w:type="dxa"/>
            <w:tcBorders>
              <w:top w:val="single" w:color="auto" w:sz="12" w:space="0"/>
              <w:left w:val="nil"/>
              <w:bottom w:val="single" w:color="auto" w:sz="8" w:space="0"/>
              <w:right w:val="nil"/>
            </w:tcBorders>
            <w:tcMar>
              <w:left w:w="28" w:type="dxa"/>
              <w:right w:w="28" w:type="dxa"/>
            </w:tcMar>
            <w:vAlign w:val="bottom"/>
          </w:tcPr>
          <w:p w14:paraId="77E5ACAE">
            <w:pPr>
              <w:widowControl/>
              <w:jc w:val="center"/>
              <w:rPr>
                <w:rFonts w:ascii="宋体" w:hAnsi="宋体" w:cs="宋体"/>
                <w:kern w:val="0"/>
              </w:rPr>
            </w:pPr>
            <w:r>
              <w:rPr>
                <w:rFonts w:hint="eastAsia" w:ascii="宋体" w:hAnsi="宋体" w:cs="宋体"/>
                <w:kern w:val="0"/>
              </w:rPr>
              <w:t>价格（</w:t>
            </w:r>
            <w:r>
              <w:rPr>
                <w:rFonts w:hint="eastAsia" w:ascii="黑体" w:eastAsia="黑体"/>
                <w:color w:val="000000"/>
              </w:rPr>
              <w:t>元/吨</w:t>
            </w:r>
            <w:r>
              <w:rPr>
                <w:rFonts w:hint="eastAsia" w:ascii="宋体" w:hAnsi="宋体" w:cs="宋体"/>
                <w:kern w:val="0"/>
              </w:rPr>
              <w:t>）</w:t>
            </w:r>
          </w:p>
        </w:tc>
        <w:tc>
          <w:tcPr>
            <w:tcW w:w="2825" w:type="dxa"/>
            <w:tcBorders>
              <w:top w:val="single" w:color="auto" w:sz="12" w:space="0"/>
              <w:left w:val="nil"/>
              <w:bottom w:val="single" w:color="auto" w:sz="8" w:space="0"/>
              <w:right w:val="nil"/>
            </w:tcBorders>
            <w:tcMar>
              <w:left w:w="28" w:type="dxa"/>
              <w:right w:w="28" w:type="dxa"/>
            </w:tcMar>
            <w:vAlign w:val="bottom"/>
          </w:tcPr>
          <w:p w14:paraId="411E79FC">
            <w:pPr>
              <w:widowControl/>
              <w:jc w:val="center"/>
              <w:rPr>
                <w:rFonts w:ascii="宋体" w:hAnsi="宋体" w:cs="宋体"/>
                <w:kern w:val="0"/>
              </w:rPr>
            </w:pPr>
            <w:r>
              <w:rPr>
                <w:rFonts w:hint="eastAsia" w:ascii="宋体" w:hAnsi="宋体" w:cs="宋体"/>
                <w:kern w:val="0"/>
              </w:rPr>
              <w:t>单产（千克/公顷）</w:t>
            </w:r>
          </w:p>
        </w:tc>
      </w:tr>
      <w:tr w14:paraId="2066AA44">
        <w:tblPrEx>
          <w:tblCellMar>
            <w:top w:w="0" w:type="dxa"/>
            <w:left w:w="108" w:type="dxa"/>
            <w:bottom w:w="0" w:type="dxa"/>
            <w:right w:w="108" w:type="dxa"/>
          </w:tblCellMar>
        </w:tblPrEx>
        <w:trPr>
          <w:trHeight w:val="285" w:hRule="atLeast"/>
          <w:jc w:val="center"/>
        </w:trPr>
        <w:tc>
          <w:tcPr>
            <w:tcW w:w="2680" w:type="dxa"/>
            <w:tcBorders>
              <w:top w:val="single" w:color="auto" w:sz="8" w:space="0"/>
              <w:left w:val="nil"/>
              <w:bottom w:val="nil"/>
              <w:right w:val="nil"/>
            </w:tcBorders>
            <w:tcMar>
              <w:left w:w="28" w:type="dxa"/>
              <w:right w:w="28" w:type="dxa"/>
            </w:tcMar>
            <w:vAlign w:val="bottom"/>
          </w:tcPr>
          <w:p w14:paraId="6622FC3D">
            <w:pPr>
              <w:widowControl/>
              <w:jc w:val="center"/>
              <w:rPr>
                <w:rFonts w:ascii="宋体" w:hAnsi="宋体" w:cs="宋体"/>
                <w:kern w:val="0"/>
              </w:rPr>
            </w:pPr>
            <w:r>
              <w:rPr>
                <w:rFonts w:hint="eastAsia" w:ascii="宋体" w:hAnsi="宋体" w:cs="宋体"/>
                <w:kern w:val="0"/>
              </w:rPr>
              <w:t>2007</w:t>
            </w:r>
          </w:p>
        </w:tc>
        <w:tc>
          <w:tcPr>
            <w:tcW w:w="3621" w:type="dxa"/>
            <w:tcBorders>
              <w:top w:val="single" w:color="auto" w:sz="8" w:space="0"/>
              <w:left w:val="nil"/>
              <w:bottom w:val="nil"/>
              <w:right w:val="nil"/>
            </w:tcBorders>
            <w:tcMar>
              <w:left w:w="28" w:type="dxa"/>
              <w:right w:w="28" w:type="dxa"/>
            </w:tcMar>
            <w:vAlign w:val="bottom"/>
          </w:tcPr>
          <w:p w14:paraId="6733A891">
            <w:pPr>
              <w:widowControl/>
              <w:jc w:val="center"/>
              <w:rPr>
                <w:rFonts w:ascii="宋体" w:hAnsi="宋体" w:cs="宋体"/>
                <w:kern w:val="0"/>
              </w:rPr>
            </w:pPr>
            <w:r>
              <w:rPr>
                <w:rFonts w:hint="eastAsia" w:ascii="宋体" w:hAnsi="宋体" w:cs="宋体"/>
                <w:kern w:val="0"/>
              </w:rPr>
              <w:t xml:space="preserve">1568.51 </w:t>
            </w:r>
          </w:p>
        </w:tc>
        <w:tc>
          <w:tcPr>
            <w:tcW w:w="2825" w:type="dxa"/>
            <w:tcBorders>
              <w:top w:val="single" w:color="auto" w:sz="8" w:space="0"/>
              <w:left w:val="nil"/>
              <w:bottom w:val="nil"/>
              <w:right w:val="nil"/>
            </w:tcBorders>
            <w:tcMar>
              <w:left w:w="28" w:type="dxa"/>
              <w:right w:w="28" w:type="dxa"/>
            </w:tcMar>
            <w:vAlign w:val="center"/>
          </w:tcPr>
          <w:p w14:paraId="43D6BEE8">
            <w:pPr>
              <w:jc w:val="center"/>
              <w:rPr>
                <w:sz w:val="24"/>
                <w:szCs w:val="24"/>
              </w:rPr>
            </w:pPr>
            <w:r>
              <w:t xml:space="preserve">7344 </w:t>
            </w:r>
          </w:p>
        </w:tc>
      </w:tr>
      <w:tr w14:paraId="7B0DC169">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D9EC055">
            <w:pPr>
              <w:widowControl/>
              <w:jc w:val="center"/>
              <w:rPr>
                <w:rFonts w:ascii="宋体" w:hAnsi="宋体" w:cs="宋体"/>
                <w:kern w:val="0"/>
              </w:rPr>
            </w:pPr>
            <w:r>
              <w:rPr>
                <w:rFonts w:hint="eastAsia" w:ascii="宋体" w:hAnsi="宋体" w:cs="宋体"/>
                <w:kern w:val="0"/>
              </w:rPr>
              <w:t>2008</w:t>
            </w:r>
          </w:p>
        </w:tc>
        <w:tc>
          <w:tcPr>
            <w:tcW w:w="3621" w:type="dxa"/>
            <w:tcBorders>
              <w:top w:val="nil"/>
              <w:left w:val="nil"/>
              <w:bottom w:val="nil"/>
              <w:right w:val="nil"/>
            </w:tcBorders>
            <w:tcMar>
              <w:left w:w="28" w:type="dxa"/>
              <w:right w:w="28" w:type="dxa"/>
            </w:tcMar>
            <w:vAlign w:val="bottom"/>
          </w:tcPr>
          <w:p w14:paraId="6E45373F">
            <w:pPr>
              <w:widowControl/>
              <w:jc w:val="center"/>
              <w:rPr>
                <w:rFonts w:ascii="宋体" w:hAnsi="宋体" w:cs="宋体"/>
                <w:kern w:val="0"/>
              </w:rPr>
            </w:pPr>
            <w:r>
              <w:rPr>
                <w:rFonts w:hint="eastAsia" w:ascii="宋体" w:hAnsi="宋体" w:cs="宋体"/>
                <w:kern w:val="0"/>
              </w:rPr>
              <w:t xml:space="preserve">1615.68 </w:t>
            </w:r>
          </w:p>
        </w:tc>
        <w:tc>
          <w:tcPr>
            <w:tcW w:w="2825" w:type="dxa"/>
            <w:tcBorders>
              <w:top w:val="nil"/>
              <w:left w:val="nil"/>
              <w:bottom w:val="nil"/>
              <w:right w:val="nil"/>
            </w:tcBorders>
            <w:tcMar>
              <w:left w:w="28" w:type="dxa"/>
              <w:right w:w="28" w:type="dxa"/>
            </w:tcMar>
            <w:vAlign w:val="center"/>
          </w:tcPr>
          <w:p w14:paraId="706558D4">
            <w:pPr>
              <w:jc w:val="center"/>
              <w:rPr>
                <w:sz w:val="24"/>
                <w:szCs w:val="24"/>
              </w:rPr>
            </w:pPr>
            <w:r>
              <w:t xml:space="preserve">7519 </w:t>
            </w:r>
          </w:p>
        </w:tc>
      </w:tr>
      <w:tr w14:paraId="056F2854">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59C1D7D9">
            <w:pPr>
              <w:widowControl/>
              <w:jc w:val="center"/>
              <w:rPr>
                <w:rFonts w:ascii="宋体" w:hAnsi="宋体" w:cs="宋体"/>
                <w:kern w:val="0"/>
              </w:rPr>
            </w:pPr>
            <w:r>
              <w:rPr>
                <w:rFonts w:hint="eastAsia" w:ascii="宋体" w:hAnsi="宋体" w:cs="宋体"/>
                <w:kern w:val="0"/>
              </w:rPr>
              <w:t>2009</w:t>
            </w:r>
          </w:p>
        </w:tc>
        <w:tc>
          <w:tcPr>
            <w:tcW w:w="3621" w:type="dxa"/>
            <w:tcBorders>
              <w:top w:val="nil"/>
              <w:left w:val="nil"/>
              <w:bottom w:val="nil"/>
              <w:right w:val="nil"/>
            </w:tcBorders>
            <w:tcMar>
              <w:left w:w="28" w:type="dxa"/>
              <w:right w:w="28" w:type="dxa"/>
            </w:tcMar>
            <w:vAlign w:val="bottom"/>
          </w:tcPr>
          <w:p w14:paraId="7C827FA9">
            <w:pPr>
              <w:widowControl/>
              <w:jc w:val="center"/>
              <w:rPr>
                <w:rFonts w:ascii="宋体" w:hAnsi="宋体" w:cs="宋体"/>
                <w:kern w:val="0"/>
              </w:rPr>
            </w:pPr>
            <w:r>
              <w:rPr>
                <w:rFonts w:hint="eastAsia" w:ascii="宋体" w:hAnsi="宋体" w:cs="宋体"/>
                <w:kern w:val="0"/>
              </w:rPr>
              <w:t xml:space="preserve">1639.85 </w:t>
            </w:r>
          </w:p>
        </w:tc>
        <w:tc>
          <w:tcPr>
            <w:tcW w:w="2825" w:type="dxa"/>
            <w:tcBorders>
              <w:top w:val="nil"/>
              <w:left w:val="nil"/>
              <w:bottom w:val="nil"/>
              <w:right w:val="nil"/>
            </w:tcBorders>
            <w:tcMar>
              <w:left w:w="28" w:type="dxa"/>
              <w:right w:w="28" w:type="dxa"/>
            </w:tcMar>
            <w:vAlign w:val="center"/>
          </w:tcPr>
          <w:p w14:paraId="356882D0">
            <w:pPr>
              <w:jc w:val="center"/>
              <w:rPr>
                <w:sz w:val="24"/>
                <w:szCs w:val="24"/>
              </w:rPr>
            </w:pPr>
            <w:r>
              <w:t xml:space="preserve">8401 </w:t>
            </w:r>
          </w:p>
        </w:tc>
      </w:tr>
      <w:tr w14:paraId="21866524">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46ACBED">
            <w:pPr>
              <w:widowControl/>
              <w:jc w:val="center"/>
              <w:rPr>
                <w:rFonts w:ascii="宋体" w:hAnsi="宋体" w:cs="宋体"/>
                <w:kern w:val="0"/>
              </w:rPr>
            </w:pPr>
            <w:r>
              <w:rPr>
                <w:rFonts w:hint="eastAsia" w:ascii="宋体" w:hAnsi="宋体" w:cs="宋体"/>
                <w:kern w:val="0"/>
              </w:rPr>
              <w:t>2010</w:t>
            </w:r>
          </w:p>
        </w:tc>
        <w:tc>
          <w:tcPr>
            <w:tcW w:w="3621" w:type="dxa"/>
            <w:tcBorders>
              <w:top w:val="nil"/>
              <w:left w:val="nil"/>
              <w:bottom w:val="nil"/>
              <w:right w:val="nil"/>
            </w:tcBorders>
            <w:tcMar>
              <w:left w:w="28" w:type="dxa"/>
              <w:right w:w="28" w:type="dxa"/>
            </w:tcMar>
            <w:vAlign w:val="bottom"/>
          </w:tcPr>
          <w:p w14:paraId="601DF96B">
            <w:pPr>
              <w:widowControl/>
              <w:jc w:val="center"/>
              <w:rPr>
                <w:rFonts w:ascii="宋体" w:hAnsi="宋体" w:cs="宋体"/>
                <w:kern w:val="0"/>
              </w:rPr>
            </w:pPr>
            <w:r>
              <w:rPr>
                <w:rFonts w:hint="eastAsia" w:ascii="宋体" w:hAnsi="宋体" w:cs="宋体"/>
                <w:kern w:val="0"/>
              </w:rPr>
              <w:t xml:space="preserve">1970.31 </w:t>
            </w:r>
          </w:p>
        </w:tc>
        <w:tc>
          <w:tcPr>
            <w:tcW w:w="2825" w:type="dxa"/>
            <w:tcBorders>
              <w:top w:val="nil"/>
              <w:left w:val="nil"/>
              <w:bottom w:val="nil"/>
              <w:right w:val="nil"/>
            </w:tcBorders>
            <w:tcMar>
              <w:left w:w="28" w:type="dxa"/>
              <w:right w:w="28" w:type="dxa"/>
            </w:tcMar>
            <w:vAlign w:val="center"/>
          </w:tcPr>
          <w:p w14:paraId="78F67228">
            <w:pPr>
              <w:jc w:val="center"/>
              <w:rPr>
                <w:sz w:val="24"/>
                <w:szCs w:val="24"/>
              </w:rPr>
            </w:pPr>
            <w:r>
              <w:t xml:space="preserve">8331 </w:t>
            </w:r>
          </w:p>
        </w:tc>
      </w:tr>
      <w:tr w14:paraId="6DD762AC">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3BE2CC40">
            <w:pPr>
              <w:widowControl/>
              <w:jc w:val="center"/>
              <w:rPr>
                <w:rFonts w:ascii="宋体" w:hAnsi="宋体" w:cs="宋体"/>
                <w:kern w:val="0"/>
              </w:rPr>
            </w:pPr>
            <w:r>
              <w:rPr>
                <w:rFonts w:hint="eastAsia" w:ascii="宋体" w:hAnsi="宋体" w:cs="宋体"/>
                <w:kern w:val="0"/>
              </w:rPr>
              <w:t>2011</w:t>
            </w:r>
          </w:p>
        </w:tc>
        <w:tc>
          <w:tcPr>
            <w:tcW w:w="3621" w:type="dxa"/>
            <w:tcBorders>
              <w:top w:val="nil"/>
              <w:left w:val="nil"/>
              <w:bottom w:val="nil"/>
              <w:right w:val="nil"/>
            </w:tcBorders>
            <w:tcMar>
              <w:left w:w="28" w:type="dxa"/>
              <w:right w:w="28" w:type="dxa"/>
            </w:tcMar>
            <w:vAlign w:val="bottom"/>
          </w:tcPr>
          <w:p w14:paraId="06C2999B">
            <w:pPr>
              <w:widowControl/>
              <w:jc w:val="center"/>
              <w:rPr>
                <w:rFonts w:ascii="宋体" w:hAnsi="宋体" w:cs="宋体"/>
                <w:kern w:val="0"/>
              </w:rPr>
            </w:pPr>
            <w:r>
              <w:rPr>
                <w:rFonts w:hint="eastAsia" w:ascii="宋体" w:hAnsi="宋体" w:cs="宋体"/>
                <w:kern w:val="0"/>
              </w:rPr>
              <w:t xml:space="preserve">2229.53 </w:t>
            </w:r>
          </w:p>
        </w:tc>
        <w:tc>
          <w:tcPr>
            <w:tcW w:w="2825" w:type="dxa"/>
            <w:tcBorders>
              <w:top w:val="nil"/>
              <w:left w:val="nil"/>
              <w:bottom w:val="nil"/>
              <w:right w:val="nil"/>
            </w:tcBorders>
            <w:tcMar>
              <w:left w:w="28" w:type="dxa"/>
              <w:right w:w="28" w:type="dxa"/>
            </w:tcMar>
            <w:vAlign w:val="center"/>
          </w:tcPr>
          <w:p w14:paraId="728B876D">
            <w:pPr>
              <w:jc w:val="center"/>
              <w:rPr>
                <w:sz w:val="24"/>
                <w:szCs w:val="24"/>
              </w:rPr>
            </w:pPr>
            <w:r>
              <w:t xml:space="preserve">8350 </w:t>
            </w:r>
          </w:p>
        </w:tc>
      </w:tr>
      <w:tr w14:paraId="413B230C">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7AF146E8">
            <w:pPr>
              <w:widowControl/>
              <w:jc w:val="center"/>
              <w:rPr>
                <w:rFonts w:ascii="宋体" w:hAnsi="宋体" w:cs="宋体"/>
                <w:kern w:val="0"/>
              </w:rPr>
            </w:pPr>
            <w:r>
              <w:rPr>
                <w:rFonts w:hint="eastAsia" w:ascii="宋体" w:hAnsi="宋体" w:cs="宋体"/>
                <w:kern w:val="0"/>
              </w:rPr>
              <w:t>2012</w:t>
            </w:r>
          </w:p>
        </w:tc>
        <w:tc>
          <w:tcPr>
            <w:tcW w:w="3621" w:type="dxa"/>
            <w:tcBorders>
              <w:top w:val="nil"/>
              <w:left w:val="nil"/>
              <w:bottom w:val="nil"/>
              <w:right w:val="nil"/>
            </w:tcBorders>
            <w:tcMar>
              <w:left w:w="28" w:type="dxa"/>
              <w:right w:w="28" w:type="dxa"/>
            </w:tcMar>
            <w:vAlign w:val="bottom"/>
          </w:tcPr>
          <w:p w14:paraId="153A3E2D">
            <w:pPr>
              <w:widowControl/>
              <w:jc w:val="center"/>
              <w:rPr>
                <w:rFonts w:ascii="宋体" w:hAnsi="宋体" w:cs="宋体"/>
                <w:kern w:val="0"/>
              </w:rPr>
            </w:pPr>
            <w:r>
              <w:rPr>
                <w:rFonts w:hint="eastAsia" w:ascii="宋体" w:hAnsi="宋体" w:cs="宋体"/>
                <w:kern w:val="0"/>
              </w:rPr>
              <w:t xml:space="preserve">2281.59 </w:t>
            </w:r>
          </w:p>
        </w:tc>
        <w:tc>
          <w:tcPr>
            <w:tcW w:w="2825" w:type="dxa"/>
            <w:tcBorders>
              <w:top w:val="nil"/>
              <w:left w:val="nil"/>
              <w:bottom w:val="nil"/>
              <w:right w:val="nil"/>
            </w:tcBorders>
            <w:tcMar>
              <w:left w:w="28" w:type="dxa"/>
              <w:right w:w="28" w:type="dxa"/>
            </w:tcMar>
            <w:vAlign w:val="center"/>
          </w:tcPr>
          <w:p w14:paraId="766FFC9E">
            <w:pPr>
              <w:jc w:val="center"/>
              <w:rPr>
                <w:sz w:val="24"/>
                <w:szCs w:val="24"/>
              </w:rPr>
            </w:pPr>
            <w:r>
              <w:t xml:space="preserve">8206 </w:t>
            </w:r>
          </w:p>
        </w:tc>
      </w:tr>
      <w:tr w14:paraId="6196B1C3">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4BC61B2">
            <w:pPr>
              <w:widowControl/>
              <w:jc w:val="center"/>
              <w:rPr>
                <w:rFonts w:ascii="宋体" w:hAnsi="宋体" w:cs="宋体"/>
                <w:kern w:val="0"/>
              </w:rPr>
            </w:pPr>
            <w:r>
              <w:rPr>
                <w:rFonts w:hint="eastAsia" w:ascii="宋体" w:hAnsi="宋体" w:cs="宋体"/>
                <w:kern w:val="0"/>
              </w:rPr>
              <w:t>2013</w:t>
            </w:r>
          </w:p>
        </w:tc>
        <w:tc>
          <w:tcPr>
            <w:tcW w:w="3621" w:type="dxa"/>
            <w:tcBorders>
              <w:top w:val="nil"/>
              <w:left w:val="nil"/>
              <w:bottom w:val="nil"/>
              <w:right w:val="nil"/>
            </w:tcBorders>
            <w:tcMar>
              <w:left w:w="28" w:type="dxa"/>
              <w:right w:w="28" w:type="dxa"/>
            </w:tcMar>
            <w:vAlign w:val="bottom"/>
          </w:tcPr>
          <w:p w14:paraId="19FCB771">
            <w:pPr>
              <w:widowControl/>
              <w:jc w:val="center"/>
              <w:rPr>
                <w:rFonts w:ascii="宋体" w:hAnsi="宋体" w:cs="宋体"/>
                <w:kern w:val="0"/>
              </w:rPr>
            </w:pPr>
            <w:r>
              <w:rPr>
                <w:rFonts w:hint="eastAsia" w:ascii="宋体" w:hAnsi="宋体" w:cs="宋体"/>
                <w:kern w:val="0"/>
              </w:rPr>
              <w:t xml:space="preserve">2303.82 </w:t>
            </w:r>
          </w:p>
        </w:tc>
        <w:tc>
          <w:tcPr>
            <w:tcW w:w="2825" w:type="dxa"/>
            <w:tcBorders>
              <w:top w:val="nil"/>
              <w:left w:val="nil"/>
              <w:bottom w:val="nil"/>
              <w:right w:val="nil"/>
            </w:tcBorders>
            <w:tcMar>
              <w:left w:w="28" w:type="dxa"/>
              <w:right w:w="28" w:type="dxa"/>
            </w:tcMar>
            <w:vAlign w:val="center"/>
          </w:tcPr>
          <w:p w14:paraId="0F16325C">
            <w:pPr>
              <w:jc w:val="center"/>
              <w:rPr>
                <w:sz w:val="24"/>
                <w:szCs w:val="24"/>
              </w:rPr>
            </w:pPr>
            <w:r>
              <w:t xml:space="preserve">7935 </w:t>
            </w:r>
          </w:p>
        </w:tc>
      </w:tr>
      <w:tr w14:paraId="0A58D6B8">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6D2E6479">
            <w:pPr>
              <w:widowControl/>
              <w:jc w:val="center"/>
              <w:rPr>
                <w:rFonts w:ascii="宋体" w:hAnsi="宋体" w:cs="宋体"/>
                <w:kern w:val="0"/>
              </w:rPr>
            </w:pPr>
            <w:r>
              <w:rPr>
                <w:rFonts w:hint="eastAsia" w:ascii="宋体" w:hAnsi="宋体" w:cs="宋体"/>
                <w:kern w:val="0"/>
              </w:rPr>
              <w:t>2014</w:t>
            </w:r>
          </w:p>
        </w:tc>
        <w:tc>
          <w:tcPr>
            <w:tcW w:w="3621" w:type="dxa"/>
            <w:tcBorders>
              <w:top w:val="nil"/>
              <w:left w:val="nil"/>
              <w:bottom w:val="nil"/>
              <w:right w:val="nil"/>
            </w:tcBorders>
            <w:tcMar>
              <w:left w:w="28" w:type="dxa"/>
              <w:right w:w="28" w:type="dxa"/>
            </w:tcMar>
            <w:vAlign w:val="bottom"/>
          </w:tcPr>
          <w:p w14:paraId="27D15F9C">
            <w:pPr>
              <w:widowControl/>
              <w:jc w:val="center"/>
              <w:rPr>
                <w:rFonts w:ascii="宋体" w:hAnsi="宋体" w:cs="宋体"/>
                <w:kern w:val="0"/>
              </w:rPr>
            </w:pPr>
            <w:r>
              <w:rPr>
                <w:rFonts w:hint="eastAsia" w:ascii="宋体" w:hAnsi="宋体" w:cs="宋体"/>
                <w:kern w:val="0"/>
              </w:rPr>
              <w:t xml:space="preserve">2356.08 </w:t>
            </w:r>
          </w:p>
        </w:tc>
        <w:tc>
          <w:tcPr>
            <w:tcW w:w="2825" w:type="dxa"/>
            <w:tcBorders>
              <w:top w:val="nil"/>
              <w:left w:val="nil"/>
              <w:bottom w:val="nil"/>
              <w:right w:val="nil"/>
            </w:tcBorders>
            <w:tcMar>
              <w:left w:w="28" w:type="dxa"/>
              <w:right w:w="28" w:type="dxa"/>
            </w:tcMar>
            <w:vAlign w:val="center"/>
          </w:tcPr>
          <w:p w14:paraId="264D9BA5">
            <w:pPr>
              <w:jc w:val="center"/>
              <w:rPr>
                <w:sz w:val="24"/>
                <w:szCs w:val="24"/>
              </w:rPr>
            </w:pPr>
            <w:r>
              <w:t xml:space="preserve">7928 </w:t>
            </w:r>
          </w:p>
        </w:tc>
      </w:tr>
      <w:tr w14:paraId="1BD0B43A">
        <w:tblPrEx>
          <w:tblCellMar>
            <w:top w:w="0" w:type="dxa"/>
            <w:left w:w="108" w:type="dxa"/>
            <w:bottom w:w="0" w:type="dxa"/>
            <w:right w:w="108" w:type="dxa"/>
          </w:tblCellMar>
        </w:tblPrEx>
        <w:trPr>
          <w:trHeight w:val="285" w:hRule="atLeast"/>
          <w:jc w:val="center"/>
        </w:trPr>
        <w:tc>
          <w:tcPr>
            <w:tcW w:w="2680" w:type="dxa"/>
            <w:tcBorders>
              <w:top w:val="nil"/>
              <w:left w:val="nil"/>
              <w:bottom w:val="single" w:color="auto" w:sz="12" w:space="0"/>
              <w:right w:val="nil"/>
            </w:tcBorders>
            <w:tcMar>
              <w:left w:w="28" w:type="dxa"/>
              <w:right w:w="28" w:type="dxa"/>
            </w:tcMar>
            <w:vAlign w:val="bottom"/>
          </w:tcPr>
          <w:p w14:paraId="0D321927">
            <w:pPr>
              <w:widowControl/>
              <w:jc w:val="center"/>
              <w:rPr>
                <w:rFonts w:ascii="宋体" w:hAnsi="宋体" w:cs="宋体"/>
                <w:kern w:val="0"/>
              </w:rPr>
            </w:pPr>
            <w:r>
              <w:rPr>
                <w:rFonts w:hint="eastAsia" w:ascii="宋体" w:hAnsi="宋体" w:cs="宋体"/>
                <w:kern w:val="0"/>
              </w:rPr>
              <w:t>2015</w:t>
            </w:r>
          </w:p>
        </w:tc>
        <w:tc>
          <w:tcPr>
            <w:tcW w:w="3621" w:type="dxa"/>
            <w:tcBorders>
              <w:top w:val="nil"/>
              <w:left w:val="nil"/>
              <w:bottom w:val="single" w:color="auto" w:sz="12" w:space="0"/>
              <w:right w:val="nil"/>
            </w:tcBorders>
            <w:tcMar>
              <w:left w:w="28" w:type="dxa"/>
              <w:right w:w="28" w:type="dxa"/>
            </w:tcMar>
            <w:vAlign w:val="bottom"/>
          </w:tcPr>
          <w:p w14:paraId="55FBAB82">
            <w:pPr>
              <w:widowControl/>
              <w:jc w:val="center"/>
              <w:rPr>
                <w:rFonts w:ascii="宋体" w:hAnsi="宋体" w:cs="宋体"/>
                <w:kern w:val="0"/>
              </w:rPr>
            </w:pPr>
            <w:r>
              <w:rPr>
                <w:rFonts w:hint="eastAsia" w:ascii="宋体" w:hAnsi="宋体" w:cs="宋体"/>
                <w:kern w:val="0"/>
              </w:rPr>
              <w:t xml:space="preserve">2124.95 </w:t>
            </w:r>
          </w:p>
        </w:tc>
        <w:tc>
          <w:tcPr>
            <w:tcW w:w="2825" w:type="dxa"/>
            <w:tcBorders>
              <w:top w:val="nil"/>
              <w:left w:val="nil"/>
              <w:bottom w:val="single" w:color="auto" w:sz="12" w:space="0"/>
              <w:right w:val="nil"/>
            </w:tcBorders>
            <w:tcMar>
              <w:left w:w="28" w:type="dxa"/>
              <w:right w:w="28" w:type="dxa"/>
            </w:tcMar>
            <w:vAlign w:val="bottom"/>
          </w:tcPr>
          <w:p w14:paraId="32EF78DD">
            <w:pPr>
              <w:jc w:val="center"/>
              <w:rPr>
                <w:sz w:val="24"/>
                <w:szCs w:val="24"/>
              </w:rPr>
            </w:pPr>
            <w:r>
              <w:t xml:space="preserve">7835 </w:t>
            </w:r>
            <w:commentRangeEnd w:id="24"/>
            <w:r>
              <w:rPr>
                <w:rStyle w:val="33"/>
              </w:rPr>
              <w:commentReference w:id="24"/>
            </w:r>
          </w:p>
        </w:tc>
      </w:tr>
    </w:tbl>
    <w:p w14:paraId="309ED4E9">
      <w:pPr>
        <w:snapToGrid w:val="0"/>
        <w:spacing w:line="360" w:lineRule="auto"/>
        <w:ind w:firstLine="411" w:firstLineChars="196"/>
        <w:rPr>
          <w:sz w:val="24"/>
        </w:rPr>
      </w:pPr>
      <w:r>
        <w:rPr>
          <w:rFonts w:hint="eastAsia"/>
        </w:rPr>
        <w:t>数据来源：山东省统计鉴（农业篇），2001-2015。</w:t>
      </w:r>
    </w:p>
    <w:p w14:paraId="585ABF31">
      <w:pPr>
        <w:snapToGrid w:val="0"/>
        <w:spacing w:line="360" w:lineRule="auto"/>
        <w:ind w:firstLine="470" w:firstLineChars="196"/>
        <w:rPr>
          <w:sz w:val="24"/>
        </w:rPr>
      </w:pPr>
    </w:p>
    <w:p w14:paraId="2C659EC2">
      <w:pPr>
        <w:snapToGrid w:val="0"/>
        <w:spacing w:line="360" w:lineRule="auto"/>
        <w:ind w:firstLine="470" w:firstLineChars="196"/>
        <w:rPr>
          <w:sz w:val="24"/>
        </w:rPr>
      </w:pPr>
    </w:p>
    <w:p w14:paraId="518837CA">
      <w:pPr>
        <w:snapToGrid w:val="0"/>
        <w:spacing w:line="360" w:lineRule="auto"/>
        <w:ind w:firstLine="470" w:firstLineChars="196"/>
        <w:rPr>
          <w:sz w:val="24"/>
        </w:rPr>
      </w:pPr>
    </w:p>
    <w:p w14:paraId="71D12CE0">
      <w:pPr>
        <w:snapToGrid w:val="0"/>
        <w:spacing w:line="360" w:lineRule="auto"/>
        <w:ind w:firstLine="470" w:firstLineChars="196"/>
        <w:rPr>
          <w:sz w:val="24"/>
        </w:rPr>
      </w:pPr>
    </w:p>
    <w:p w14:paraId="00B38E2E">
      <w:pPr>
        <w:snapToGrid w:val="0"/>
        <w:spacing w:line="360" w:lineRule="auto"/>
        <w:ind w:firstLine="470" w:firstLineChars="196"/>
        <w:rPr>
          <w:sz w:val="24"/>
        </w:rPr>
      </w:pPr>
    </w:p>
    <w:p w14:paraId="0362377B">
      <w:pPr>
        <w:wordWrap w:val="0"/>
        <w:snapToGrid w:val="0"/>
        <w:spacing w:line="360" w:lineRule="auto"/>
        <w:jc w:val="right"/>
        <w:rPr>
          <w:sz w:val="24"/>
          <w:szCs w:val="24"/>
        </w:rPr>
      </w:pPr>
      <w:commentRangeStart w:id="25"/>
      <w:r>
        <w:rPr>
          <w:position w:val="-12"/>
          <w:sz w:val="24"/>
          <w:szCs w:val="24"/>
        </w:rPr>
        <w:object>
          <v:shape id="_x0000_i1025" o:spt="75" type="#_x0000_t75" style="height:18pt;width:66.75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sz w:val="24"/>
          <w:szCs w:val="24"/>
        </w:rPr>
        <w:t xml:space="preserve">                                </w:t>
      </w:r>
      <w:r>
        <w:rPr>
          <w:sz w:val="24"/>
          <w:szCs w:val="24"/>
        </w:rPr>
        <w:t>（</w:t>
      </w:r>
      <w:r>
        <w:rPr>
          <w:rFonts w:hint="eastAsia"/>
          <w:sz w:val="24"/>
          <w:szCs w:val="24"/>
        </w:rPr>
        <w:t>5.</w:t>
      </w:r>
      <w:r>
        <w:rPr>
          <w:sz w:val="24"/>
          <w:szCs w:val="24"/>
        </w:rPr>
        <w:t>1）</w:t>
      </w:r>
    </w:p>
    <w:p w14:paraId="1AB3DDBF">
      <w:pPr>
        <w:wordWrap w:val="0"/>
        <w:snapToGrid w:val="0"/>
        <w:spacing w:line="360" w:lineRule="auto"/>
        <w:jc w:val="right"/>
        <w:rPr>
          <w:sz w:val="24"/>
          <w:szCs w:val="24"/>
        </w:rPr>
      </w:pPr>
      <w:r>
        <w:rPr>
          <w:position w:val="-24"/>
          <w:sz w:val="24"/>
          <w:szCs w:val="24"/>
        </w:rPr>
        <w:object>
          <v:shape id="_x0000_i1026" o:spt="75" type="#_x0000_t75" style="height:31.5pt;width:114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5.</w:t>
      </w:r>
      <w:r>
        <w:rPr>
          <w:sz w:val="24"/>
          <w:szCs w:val="24"/>
        </w:rPr>
        <w:t>2）</w:t>
      </w:r>
    </w:p>
    <w:p w14:paraId="7EA545CB">
      <w:pPr>
        <w:wordWrap w:val="0"/>
        <w:snapToGrid w:val="0"/>
        <w:spacing w:line="360" w:lineRule="auto"/>
        <w:ind w:firstLine="480" w:firstLineChars="200"/>
        <w:jc w:val="right"/>
        <w:rPr>
          <w:sz w:val="24"/>
          <w:szCs w:val="24"/>
        </w:rPr>
      </w:pPr>
      <w:r>
        <w:rPr>
          <w:position w:val="-68"/>
          <w:sz w:val="24"/>
          <w:szCs w:val="24"/>
        </w:rPr>
        <w:object>
          <v:shape id="_x0000_i1027" o:spt="75" type="#_x0000_t75" style="height:74.25pt;width:141.8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5.3</w:t>
      </w:r>
      <w:r>
        <w:rPr>
          <w:sz w:val="24"/>
          <w:szCs w:val="24"/>
        </w:rPr>
        <w:t>）</w:t>
      </w:r>
    </w:p>
    <w:p w14:paraId="2F80C819">
      <w:pPr>
        <w:wordWrap w:val="0"/>
        <w:snapToGrid w:val="0"/>
        <w:spacing w:line="360" w:lineRule="auto"/>
        <w:ind w:firstLine="480" w:firstLineChars="200"/>
        <w:jc w:val="right"/>
        <w:rPr>
          <w:sz w:val="24"/>
          <w:szCs w:val="24"/>
        </w:rPr>
      </w:pPr>
      <w:r>
        <w:rPr>
          <w:position w:val="-14"/>
          <w:sz w:val="24"/>
          <w:szCs w:val="24"/>
        </w:rPr>
        <w:object>
          <v:shape id="_x0000_i1028" o:spt="75" type="#_x0000_t75" style="height:19.5pt;width:88.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5.4</w:t>
      </w:r>
      <w:r>
        <w:rPr>
          <w:sz w:val="24"/>
          <w:szCs w:val="24"/>
        </w:rPr>
        <w:t>）</w:t>
      </w:r>
    </w:p>
    <w:p w14:paraId="139CF69A">
      <w:pPr>
        <w:wordWrap w:val="0"/>
        <w:snapToGrid w:val="0"/>
        <w:spacing w:line="360" w:lineRule="auto"/>
        <w:ind w:firstLine="480" w:firstLineChars="200"/>
        <w:jc w:val="right"/>
        <w:rPr>
          <w:sz w:val="24"/>
          <w:szCs w:val="24"/>
        </w:rPr>
      </w:pPr>
      <w:r>
        <w:rPr>
          <w:position w:val="-86"/>
          <w:sz w:val="24"/>
          <w:szCs w:val="24"/>
        </w:rPr>
        <w:object>
          <v:shape id="_x0000_i1029" o:spt="75" type="#_x0000_t75" style="height:91.5pt;width:198.8pt;" o:ole="t" filled="f" o:preferrelative="t" stroked="f" coordsize="21600,21600">
            <v:path/>
            <v:fill on="f" focussize="0,0"/>
            <v:stroke on="f" joinstyle="miter"/>
            <v:imagedata r:id="rId26" o:title=""/>
            <o:lock v:ext="edit" aspectratio="t"/>
            <w10:wrap type="none"/>
            <w10:anchorlock/>
          </v:shape>
          <o:OLEObject Type="Embed" ProgID="Equation.3" ShapeID="_x0000_i1029" DrawAspect="Content" ObjectID="_1468075729" r:id="rId25">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5.5</w:t>
      </w:r>
      <w:r>
        <w:rPr>
          <w:sz w:val="24"/>
          <w:szCs w:val="24"/>
        </w:rPr>
        <w:t>）</w:t>
      </w:r>
    </w:p>
    <w:commentRangeEnd w:id="25"/>
    <w:p w14:paraId="267E8390">
      <w:pPr>
        <w:snapToGrid w:val="0"/>
        <w:spacing w:line="360" w:lineRule="auto"/>
        <w:ind w:firstLine="411" w:firstLineChars="196"/>
        <w:rPr>
          <w:rFonts w:eastAsia="黑体"/>
          <w:sz w:val="10"/>
          <w:szCs w:val="10"/>
        </w:rPr>
      </w:pPr>
      <w:r>
        <w:rPr>
          <w:rStyle w:val="33"/>
        </w:rPr>
        <w:commentReference w:id="25"/>
      </w:r>
      <w:r>
        <w:rPr>
          <w:sz w:val="24"/>
        </w:rPr>
        <w:br w:type="page"/>
      </w:r>
    </w:p>
    <w:p w14:paraId="6D48709F">
      <w:pPr>
        <w:pStyle w:val="2"/>
        <w:jc w:val="center"/>
        <w:rPr>
          <w:rFonts w:ascii="黑体" w:hAnsi="黑体"/>
          <w:szCs w:val="32"/>
        </w:rPr>
      </w:pPr>
      <w:commentRangeStart w:id="26"/>
      <w:bookmarkStart w:id="11" w:name="_Toc481076066"/>
      <w:r>
        <w:rPr>
          <w:rFonts w:ascii="黑体" w:hAnsi="黑体"/>
          <w:szCs w:val="32"/>
        </w:rPr>
        <w:t>参考文献</w:t>
      </w:r>
      <w:commentRangeEnd w:id="26"/>
      <w:r>
        <w:rPr>
          <w:rStyle w:val="33"/>
          <w:rFonts w:ascii="黑体" w:hAnsi="黑体"/>
          <w:bCs w:val="0"/>
          <w:kern w:val="2"/>
          <w:sz w:val="32"/>
          <w:szCs w:val="32"/>
        </w:rPr>
        <w:commentReference w:id="26"/>
      </w:r>
      <w:bookmarkEnd w:id="11"/>
    </w:p>
    <w:p w14:paraId="704375F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[1]Bazilian, M., Rogner, H., Howells, M., et al. Considering the energy, water and food nexus: Towards an integrated modelling approach[J]. Energy Policy, 2011, 39(12): 7896-7906.</w:t>
      </w:r>
    </w:p>
    <w:p w14:paraId="1F07DF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2</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]Ringler, C., Bhaduri, A., Lawford, R. The nexus across water, energy, land and food (WELF): Potential for improved resource use efficiency?[J]. Current Opinion in Environmental Sustainability, 2013, 5(6): 617-624.</w:t>
      </w:r>
    </w:p>
    <w:p w14:paraId="3257D1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3</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]Scanlon, B.R., Fakhreddine, S., Rateb, A., et al. Global water resources and the role of groundwater in a resilient water future[J]. Nature Reviews Earth &amp; Environment, 2023, 4: 87-101.</w:t>
      </w:r>
    </w:p>
    <w:p w14:paraId="453F28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4</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]陈桂生, 彭俊杰. “水-能源-粮食”纽带视角下黄河流域数字经济的绿色作用机制研究[J]. 管理学刊, 2025, 38(01): 146-158. </w:t>
      </w:r>
    </w:p>
    <w:p w14:paraId="5CCFB99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5</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]丁童慧, 陈军飞, 嵇娟, 等. 水-能源-粮食纽带关系与生态系统服务耦合研究进展与展望[J]. 生态学报, 2025, 45(6): 3032-3045. </w:t>
      </w:r>
    </w:p>
    <w:p w14:paraId="268E4DB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6</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]关鑫, 魏琨翔, 姜文来. 水-能源-粮食关联的中国粮食安全：保障能力、因素与趋势[J]. 农林经济管理学报, 2025, 24(01): 13-23. </w:t>
      </w:r>
    </w:p>
    <w:p w14:paraId="149C745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7</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]胡振通,王亚华.华北地下水超采综合治理效果评估——以冬小麦春灌节水政策为例[J].干旱区资源与环境,2019,33(05):101-106.</w:t>
      </w:r>
    </w:p>
    <w:p w14:paraId="23805B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8</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 郝林钢, 于静洁, 王平, 等. 面向可持续发展的水—能源—粮食纽带关系系统解析及其研究框架[J]. 地理科学进展, 2023, 42(1): 173-184. </w:t>
      </w:r>
    </w:p>
    <w:p w14:paraId="56C8D3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9</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 许紫月, 马凯, 袁旭, 等. 跨境流域水-能源-粮食关联关系研究进展与展望[J]. 地理科学, 2023, 43(08): 1442-1450. </w:t>
      </w:r>
    </w:p>
    <w:p w14:paraId="36CDBC3E">
      <w:pPr>
        <w:adjustRightInd w:val="0"/>
        <w:snapToGrid w:val="0"/>
        <w:spacing w:line="360" w:lineRule="auto"/>
        <w:rPr>
          <w:rFonts w:ascii="微软雅黑" w:hAnsi="微软雅黑" w:eastAsia="微软雅黑"/>
          <w:color w:val="FF0000"/>
          <w:sz w:val="22"/>
          <w:szCs w:val="22"/>
        </w:rPr>
      </w:pPr>
      <w:r>
        <w:rPr>
          <w:rStyle w:val="33"/>
          <w:bCs/>
        </w:rPr>
        <w:commentReference w:id="27"/>
      </w:r>
      <w:r>
        <w:rPr>
          <w:rFonts w:hint="eastAsia" w:ascii="微软雅黑" w:hAnsi="微软雅黑" w:eastAsia="微软雅黑"/>
          <w:color w:val="FF0000"/>
          <w:sz w:val="22"/>
          <w:szCs w:val="22"/>
        </w:rPr>
        <w:t>参考文献基本格式：</w:t>
      </w:r>
    </w:p>
    <w:p w14:paraId="681AD0C0">
      <w:pPr>
        <w:adjustRightInd w:val="0"/>
        <w:snapToGrid w:val="0"/>
        <w:spacing w:line="360" w:lineRule="auto"/>
        <w:rPr>
          <w:rFonts w:eastAsia="微软雅黑"/>
          <w:color w:val="FF0000"/>
          <w:sz w:val="24"/>
          <w:szCs w:val="24"/>
        </w:rPr>
      </w:pPr>
      <w:r>
        <w:rPr>
          <w:rFonts w:eastAsia="微软雅黑"/>
          <w:color w:val="FF0000"/>
          <w:sz w:val="24"/>
          <w:szCs w:val="24"/>
        </w:rPr>
        <w:t>[序号]作者姓名.文章名[文献类别].期刊名称，发表年份，卷号（期号）：页码.（文章类）　</w:t>
      </w:r>
    </w:p>
    <w:p w14:paraId="67C7555A">
      <w:pPr>
        <w:adjustRightInd w:val="0"/>
        <w:snapToGrid w:val="0"/>
        <w:spacing w:line="360" w:lineRule="auto"/>
        <w:rPr>
          <w:rStyle w:val="33"/>
          <w:bCs/>
          <w:sz w:val="24"/>
          <w:szCs w:val="24"/>
        </w:rPr>
      </w:pPr>
      <w:r>
        <w:rPr>
          <w:rFonts w:eastAsia="微软雅黑"/>
          <w:color w:val="FF0000"/>
          <w:sz w:val="24"/>
          <w:szCs w:val="24"/>
        </w:rPr>
        <w:t>[序号]作者姓名.书名或博硕论文名等）[文献类别].出版社地址：出版社，出版年月.（图书类）</w:t>
      </w:r>
    </w:p>
    <w:p w14:paraId="65224458">
      <w:pPr>
        <w:adjustRightInd w:val="0"/>
        <w:snapToGrid w:val="0"/>
        <w:spacing w:line="360" w:lineRule="auto"/>
        <w:rPr>
          <w:color w:val="FF0000"/>
          <w:sz w:val="24"/>
          <w:szCs w:val="24"/>
        </w:rPr>
      </w:pPr>
      <w:r>
        <w:rPr>
          <w:rFonts w:eastAsia="微软雅黑"/>
          <w:color w:val="FF0000"/>
          <w:sz w:val="24"/>
          <w:szCs w:val="24"/>
        </w:rPr>
        <w:t>注意：参考文献（即引文出处）的类型以单字母方式标识，具体如下：</w:t>
      </w:r>
      <w:r>
        <w:rPr>
          <w:rFonts w:eastAsia="微软雅黑"/>
          <w:color w:val="FF0000"/>
          <w:sz w:val="24"/>
          <w:szCs w:val="24"/>
        </w:rPr>
        <w:br w:type="textWrapping"/>
      </w:r>
      <w:r>
        <w:rPr>
          <w:color w:val="FF0000"/>
          <w:sz w:val="24"/>
          <w:szCs w:val="24"/>
        </w:rPr>
        <w:t>专著——M</w:t>
      </w:r>
      <w:r>
        <w:rPr>
          <w:color w:val="FF0000"/>
          <w:spacing w:val="-17"/>
          <w:sz w:val="24"/>
          <w:szCs w:val="24"/>
        </w:rPr>
        <w:t>，论文集</w:t>
      </w:r>
      <w:r>
        <w:rPr>
          <w:color w:val="FF0000"/>
          <w:sz w:val="24"/>
          <w:szCs w:val="24"/>
        </w:rPr>
        <w:t>——C</w:t>
      </w:r>
      <w:r>
        <w:rPr>
          <w:color w:val="FF0000"/>
          <w:spacing w:val="-13"/>
          <w:sz w:val="24"/>
          <w:szCs w:val="24"/>
        </w:rPr>
        <w:t>，报纸文章</w:t>
      </w:r>
      <w:r>
        <w:rPr>
          <w:color w:val="FF0000"/>
          <w:sz w:val="24"/>
          <w:szCs w:val="24"/>
        </w:rPr>
        <w:t>——N</w:t>
      </w:r>
      <w:r>
        <w:rPr>
          <w:color w:val="FF0000"/>
          <w:spacing w:val="-6"/>
          <w:sz w:val="24"/>
          <w:szCs w:val="24"/>
        </w:rPr>
        <w:t>，期刊文章</w:t>
      </w:r>
      <w:r>
        <w:rPr>
          <w:color w:val="FF0000"/>
          <w:spacing w:val="-24"/>
          <w:sz w:val="24"/>
          <w:szCs w:val="24"/>
        </w:rPr>
        <w:t>——</w:t>
      </w:r>
      <w:r>
        <w:rPr>
          <w:color w:val="FF0000"/>
          <w:sz w:val="24"/>
          <w:szCs w:val="24"/>
        </w:rPr>
        <w:t>J，</w:t>
      </w:r>
      <w:r>
        <w:rPr>
          <w:color w:val="FF0000"/>
          <w:spacing w:val="15"/>
          <w:sz w:val="24"/>
          <w:szCs w:val="24"/>
        </w:rPr>
        <w:t>学位论文</w:t>
      </w:r>
      <w:r>
        <w:rPr>
          <w:color w:val="FF0000"/>
          <w:sz w:val="24"/>
          <w:szCs w:val="24"/>
        </w:rPr>
        <w:t>——D</w:t>
      </w:r>
      <w:r>
        <w:rPr>
          <w:color w:val="FF0000"/>
          <w:spacing w:val="11"/>
          <w:sz w:val="24"/>
          <w:szCs w:val="24"/>
        </w:rPr>
        <w:t>，报告</w:t>
      </w:r>
      <w:r>
        <w:rPr>
          <w:color w:val="FF0000"/>
          <w:spacing w:val="-25"/>
          <w:sz w:val="24"/>
          <w:szCs w:val="24"/>
        </w:rPr>
        <w:t>——</w:t>
      </w:r>
      <w:r>
        <w:rPr>
          <w:color w:val="FF0000"/>
          <w:sz w:val="24"/>
          <w:szCs w:val="24"/>
        </w:rPr>
        <w:t>R</w:t>
      </w:r>
      <w:r>
        <w:rPr>
          <w:color w:val="FF0000"/>
          <w:spacing w:val="11"/>
          <w:sz w:val="24"/>
          <w:szCs w:val="24"/>
        </w:rPr>
        <w:t>，标准</w:t>
      </w:r>
      <w:r>
        <w:rPr>
          <w:color w:val="FF0000"/>
          <w:spacing w:val="-25"/>
          <w:sz w:val="24"/>
          <w:szCs w:val="24"/>
        </w:rPr>
        <w:t>——</w:t>
      </w:r>
      <w:r>
        <w:rPr>
          <w:color w:val="FF0000"/>
          <w:sz w:val="24"/>
          <w:szCs w:val="24"/>
        </w:rPr>
        <w:t>S</w:t>
      </w:r>
      <w:r>
        <w:rPr>
          <w:color w:val="FF0000"/>
          <w:spacing w:val="11"/>
          <w:sz w:val="24"/>
          <w:szCs w:val="24"/>
        </w:rPr>
        <w:t>，专利</w:t>
      </w:r>
      <w:r>
        <w:rPr>
          <w:color w:val="FF0000"/>
          <w:spacing w:val="-24"/>
          <w:sz w:val="24"/>
          <w:szCs w:val="24"/>
        </w:rPr>
        <w:t>——</w:t>
      </w:r>
      <w:r>
        <w:rPr>
          <w:color w:val="FF0000"/>
          <w:sz w:val="24"/>
          <w:szCs w:val="24"/>
        </w:rPr>
        <w:t>P</w:t>
      </w:r>
      <w:r>
        <w:rPr>
          <w:color w:val="FF0000"/>
          <w:spacing w:val="14"/>
          <w:sz w:val="24"/>
          <w:szCs w:val="24"/>
        </w:rPr>
        <w:t>，联机网上数</w:t>
      </w:r>
      <w:r>
        <w:rPr>
          <w:color w:val="FF0000"/>
          <w:spacing w:val="25"/>
          <w:sz w:val="24"/>
          <w:szCs w:val="24"/>
        </w:rPr>
        <w:t>据库</w:t>
      </w:r>
      <w:r>
        <w:rPr>
          <w:color w:val="FF0000"/>
          <w:sz w:val="24"/>
          <w:szCs w:val="24"/>
        </w:rPr>
        <w:t>——</w:t>
      </w:r>
      <w:r>
        <w:rPr>
          <w:color w:val="FF0000"/>
          <w:spacing w:val="-4"/>
          <w:sz w:val="24"/>
          <w:szCs w:val="24"/>
        </w:rPr>
        <w:t>[DB/OL]</w:t>
      </w:r>
      <w:r>
        <w:rPr>
          <w:color w:val="FF0000"/>
          <w:spacing w:val="24"/>
          <w:sz w:val="24"/>
          <w:szCs w:val="24"/>
        </w:rPr>
        <w:t>，光盘图书</w:t>
      </w:r>
      <w:r>
        <w:rPr>
          <w:color w:val="FF0000"/>
          <w:sz w:val="24"/>
          <w:szCs w:val="24"/>
        </w:rPr>
        <w:t>——</w:t>
      </w:r>
      <w:r>
        <w:rPr>
          <w:color w:val="FF0000"/>
          <w:spacing w:val="-10"/>
          <w:sz w:val="24"/>
          <w:szCs w:val="24"/>
        </w:rPr>
        <w:t>[M/CD]</w:t>
      </w:r>
      <w:r>
        <w:rPr>
          <w:color w:val="FF0000"/>
          <w:spacing w:val="25"/>
          <w:sz w:val="24"/>
          <w:szCs w:val="24"/>
        </w:rPr>
        <w:t>，磁盘软件</w:t>
      </w:r>
      <w:r>
        <w:rPr>
          <w:color w:val="FF0000"/>
          <w:sz w:val="24"/>
          <w:szCs w:val="24"/>
        </w:rPr>
        <w:t>——</w:t>
      </w:r>
      <w:r>
        <w:rPr>
          <w:color w:val="FF0000"/>
          <w:spacing w:val="-2"/>
          <w:sz w:val="24"/>
          <w:szCs w:val="24"/>
        </w:rPr>
        <w:t>[CP/DK]</w:t>
      </w:r>
      <w:r>
        <w:rPr>
          <w:color w:val="FF0000"/>
          <w:sz w:val="24"/>
          <w:szCs w:val="24"/>
        </w:rPr>
        <w:t>，网上期刊——</w:t>
      </w:r>
      <w:r>
        <w:rPr>
          <w:color w:val="FF0000"/>
          <w:spacing w:val="-6"/>
          <w:sz w:val="24"/>
          <w:szCs w:val="24"/>
        </w:rPr>
        <w:t>[J/OL]</w:t>
      </w:r>
      <w:r>
        <w:rPr>
          <w:color w:val="FF0000"/>
          <w:spacing w:val="-4"/>
          <w:sz w:val="24"/>
          <w:szCs w:val="24"/>
        </w:rPr>
        <w:t>，网上电子公告</w:t>
      </w:r>
      <w:r>
        <w:rPr>
          <w:color w:val="FF0000"/>
          <w:spacing w:val="-24"/>
          <w:sz w:val="24"/>
          <w:szCs w:val="24"/>
        </w:rPr>
        <w:t>——</w:t>
      </w:r>
      <w:r>
        <w:rPr>
          <w:color w:val="FF0000"/>
          <w:spacing w:val="-4"/>
          <w:sz w:val="24"/>
          <w:szCs w:val="24"/>
        </w:rPr>
        <w:t>[EB/OL]。</w:t>
      </w:r>
    </w:p>
    <w:p w14:paraId="6EA4DE53">
      <w:pPr>
        <w:pStyle w:val="2"/>
        <w:shd w:val="clear" w:color="auto" w:fill="FFFFFF"/>
        <w:spacing w:line="489" w:lineRule="atLeast"/>
        <w:rPr>
          <w:rFonts w:eastAsia="宋体"/>
          <w:bCs w:val="0"/>
          <w:kern w:val="2"/>
          <w:sz w:val="24"/>
          <w:szCs w:val="24"/>
        </w:rPr>
      </w:pPr>
    </w:p>
    <w:p w14:paraId="711FEBF2">
      <w:pPr>
        <w:rPr>
          <w:rFonts w:hint="default" w:eastAsia="宋体"/>
          <w:bCs/>
          <w:sz w:val="24"/>
          <w:szCs w:val="24"/>
          <w:lang w:val="en-US" w:eastAsia="zh-CN"/>
        </w:rPr>
      </w:pPr>
      <w:r>
        <w:rPr>
          <w:rFonts w:hint="eastAsia"/>
          <w:sz w:val="28"/>
          <w:szCs w:val="28"/>
          <w:highlight w:val="yellow"/>
        </w:rPr>
        <w:t>注意：尽量少用或者不用[</w:t>
      </w:r>
      <w:r>
        <w:rPr>
          <w:sz w:val="28"/>
          <w:szCs w:val="28"/>
          <w:highlight w:val="yellow"/>
        </w:rPr>
        <w:t>D],</w:t>
      </w:r>
      <w:r>
        <w:rPr>
          <w:rFonts w:hint="eastAsia"/>
          <w:sz w:val="28"/>
          <w:szCs w:val="28"/>
          <w:highlight w:val="yellow"/>
        </w:rPr>
        <w:t>多使用</w:t>
      </w:r>
      <w:r>
        <w:rPr>
          <w:rFonts w:hint="eastAsia"/>
          <w:sz w:val="28"/>
          <w:szCs w:val="28"/>
          <w:highlight w:val="yellow"/>
          <w:lang w:val="en-US" w:eastAsia="zh-CN"/>
        </w:rPr>
        <w:t>知网</w:t>
      </w:r>
      <w:r>
        <w:rPr>
          <w:rFonts w:hint="eastAsia"/>
          <w:sz w:val="28"/>
          <w:szCs w:val="28"/>
          <w:highlight w:val="yellow"/>
        </w:rPr>
        <w:t>核心期刊论文</w:t>
      </w:r>
    </w:p>
    <w:p w14:paraId="70ABA0A4">
      <w:pPr>
        <w:widowControl/>
        <w:snapToGrid w:val="0"/>
        <w:spacing w:line="360" w:lineRule="auto"/>
        <w:rPr>
          <w:sz w:val="24"/>
          <w:szCs w:val="24"/>
        </w:rPr>
      </w:pPr>
    </w:p>
    <w:p w14:paraId="1658DEDB">
      <w:pPr>
        <w:wordWrap w:val="0"/>
        <w:overflowPunct w:val="0"/>
        <w:topLinePunct/>
        <w:spacing w:line="360" w:lineRule="auto"/>
        <w:rPr>
          <w:rFonts w:ascii="宋体" w:hAnsi="宋体"/>
          <w:b/>
          <w:sz w:val="24"/>
        </w:rPr>
      </w:pPr>
    </w:p>
    <w:p w14:paraId="6A6A3826">
      <w:pPr>
        <w:wordWrap w:val="0"/>
        <w:overflowPunct w:val="0"/>
        <w:topLinePunct/>
        <w:spacing w:line="360" w:lineRule="auto"/>
        <w:rPr>
          <w:rFonts w:ascii="黑体" w:hAnsi="黑体" w:eastAsia="黑体"/>
          <w:b/>
          <w:sz w:val="32"/>
          <w:szCs w:val="32"/>
        </w:rPr>
      </w:pPr>
      <w:commentRangeStart w:id="28"/>
      <w:r>
        <w:rPr>
          <w:rFonts w:hint="eastAsia" w:ascii="黑体" w:hAnsi="黑体" w:eastAsia="黑体"/>
          <w:b/>
          <w:sz w:val="32"/>
          <w:szCs w:val="32"/>
        </w:rPr>
        <w:t>附录：</w:t>
      </w:r>
      <w:commentRangeEnd w:id="28"/>
      <w:r>
        <w:rPr>
          <w:rStyle w:val="33"/>
          <w:rFonts w:ascii="黑体" w:hAnsi="黑体" w:eastAsia="黑体"/>
          <w:sz w:val="32"/>
          <w:szCs w:val="32"/>
        </w:rPr>
        <w:commentReference w:id="28"/>
      </w:r>
    </w:p>
    <w:p w14:paraId="7341D71A">
      <w:pPr>
        <w:overflowPunct w:val="0"/>
        <w:topLinePunct/>
        <w:spacing w:line="360" w:lineRule="auto"/>
        <w:ind w:firstLine="420" w:firstLineChars="200"/>
        <w:jc w:val="center"/>
        <w:rPr>
          <w:rFonts w:ascii="宋体" w:hAnsi="宋体"/>
        </w:rPr>
      </w:pPr>
      <w:r>
        <w:rPr>
          <w:rFonts w:hint="eastAsia" w:ascii="宋体" w:hAnsi="宋体"/>
          <w:lang w:eastAsia="zh-CN"/>
        </w:rPr>
        <w:t>。。。。。</w:t>
      </w:r>
      <w:r>
        <w:rPr>
          <w:rFonts w:hint="eastAsia" w:ascii="宋体" w:hAnsi="宋体"/>
          <w:lang w:val="en-US" w:eastAsia="zh-CN"/>
        </w:rPr>
        <w:t>的</w:t>
      </w:r>
      <w:r>
        <w:rPr>
          <w:rFonts w:hint="eastAsia" w:ascii="宋体" w:hAnsi="宋体"/>
        </w:rPr>
        <w:t>调查问卷</w:t>
      </w:r>
    </w:p>
    <w:p w14:paraId="3FE5EAB2">
      <w:pPr>
        <w:spacing w:line="360" w:lineRule="auto"/>
        <w:ind w:firstLine="420" w:firstLineChars="200"/>
        <w:rPr>
          <w:rFonts w:ascii="宋体" w:hAnsi="宋体"/>
        </w:rPr>
      </w:pPr>
      <w:commentRangeStart w:id="29"/>
      <w:r>
        <w:rPr>
          <w:rFonts w:hint="eastAsia" w:ascii="宋体" w:hAnsi="宋体"/>
        </w:rPr>
        <w:t>尊敬的先生/女士：</w:t>
      </w:r>
    </w:p>
    <w:p w14:paraId="72697804">
      <w:pPr>
        <w:spacing w:line="360" w:lineRule="auto"/>
        <w:ind w:firstLine="570"/>
        <w:rPr>
          <w:rFonts w:ascii="宋体" w:hAnsi="宋体"/>
        </w:rPr>
      </w:pPr>
      <w:r>
        <w:rPr>
          <w:rFonts w:hint="eastAsia" w:ascii="宋体" w:hAnsi="宋体"/>
        </w:rPr>
        <w:t>您好！</w:t>
      </w:r>
    </w:p>
    <w:p w14:paraId="532E2AFC">
      <w:pPr>
        <w:spacing w:line="360" w:lineRule="auto"/>
        <w:ind w:firstLine="570"/>
        <w:rPr>
          <w:rFonts w:ascii="宋体" w:hAnsi="宋体"/>
        </w:rPr>
      </w:pPr>
      <w:r>
        <w:rPr>
          <w:rFonts w:hint="eastAsia" w:ascii="宋体" w:hAnsi="宋体"/>
        </w:rPr>
        <w:t>我们是山东农业大学公共管理学院调查团队成员，希望通过您了解您所在地农业相关情况，您的意见对我们的研究将会有很大的帮助，问卷为匿名填写，答案的选项没有对错之分，希望您如实回答，真诚谢谢您的合作。</w:t>
      </w:r>
    </w:p>
    <w:p w14:paraId="2D33F75D">
      <w:pPr>
        <w:overflowPunct w:val="0"/>
        <w:topLinePunct/>
        <w:spacing w:line="360" w:lineRule="auto"/>
        <w:ind w:firstLine="480" w:firstLineChars="200"/>
        <w:rPr>
          <w:rFonts w:ascii="宋体" w:hAnsi="宋体"/>
          <w:sz w:val="24"/>
        </w:rPr>
      </w:pPr>
      <w:r>
        <w:rPr>
          <w:rFonts w:hint="eastAsia" w:ascii="宋体" w:hAnsi="宋体"/>
          <w:sz w:val="24"/>
        </w:rPr>
        <w:t>。。。。。。。。</w:t>
      </w:r>
    </w:p>
    <w:commentRangeEnd w:id="29"/>
    <w:p w14:paraId="3DA58141">
      <w:pPr>
        <w:wordWrap w:val="0"/>
        <w:overflowPunct w:val="0"/>
        <w:topLinePunct/>
        <w:spacing w:line="360" w:lineRule="auto"/>
        <w:ind w:firstLine="420" w:firstLineChars="200"/>
        <w:rPr>
          <w:rFonts w:ascii="宋体" w:hAnsi="宋体"/>
          <w:b/>
          <w:sz w:val="24"/>
        </w:rPr>
      </w:pPr>
      <w:r>
        <w:rPr>
          <w:rStyle w:val="33"/>
        </w:rPr>
        <w:commentReference w:id="29"/>
      </w:r>
    </w:p>
    <w:p w14:paraId="20B3316C">
      <w:pPr>
        <w:wordWrap w:val="0"/>
        <w:overflowPunct w:val="0"/>
        <w:topLinePunct/>
        <w:spacing w:line="360" w:lineRule="auto"/>
        <w:ind w:firstLine="482" w:firstLineChars="200"/>
        <w:rPr>
          <w:rFonts w:ascii="宋体" w:hAnsi="宋体"/>
          <w:b/>
          <w:sz w:val="24"/>
        </w:rPr>
      </w:pPr>
    </w:p>
    <w:p w14:paraId="157BB99B">
      <w:pPr>
        <w:wordWrap w:val="0"/>
        <w:overflowPunct w:val="0"/>
        <w:topLinePunct/>
        <w:spacing w:line="360" w:lineRule="auto"/>
        <w:ind w:firstLine="482" w:firstLineChars="200"/>
        <w:rPr>
          <w:rFonts w:ascii="宋体" w:hAnsi="宋体"/>
          <w:b/>
          <w:sz w:val="24"/>
        </w:rPr>
      </w:pPr>
    </w:p>
    <w:p w14:paraId="468C19B8">
      <w:pPr>
        <w:wordWrap w:val="0"/>
        <w:overflowPunct w:val="0"/>
        <w:topLinePunct/>
        <w:spacing w:line="360" w:lineRule="auto"/>
        <w:ind w:firstLine="482" w:firstLineChars="200"/>
        <w:rPr>
          <w:rFonts w:ascii="宋体" w:hAnsi="宋体"/>
          <w:b/>
          <w:sz w:val="24"/>
        </w:rPr>
      </w:pPr>
    </w:p>
    <w:p w14:paraId="07C37A58">
      <w:pPr>
        <w:wordWrap w:val="0"/>
        <w:overflowPunct w:val="0"/>
        <w:topLinePunct/>
        <w:spacing w:line="360" w:lineRule="auto"/>
        <w:ind w:firstLine="482" w:firstLineChars="200"/>
        <w:rPr>
          <w:rFonts w:ascii="宋体" w:hAnsi="宋体"/>
          <w:b/>
          <w:sz w:val="24"/>
        </w:rPr>
      </w:pPr>
    </w:p>
    <w:p w14:paraId="713934EB">
      <w:pPr>
        <w:wordWrap w:val="0"/>
        <w:overflowPunct w:val="0"/>
        <w:topLinePunct/>
        <w:spacing w:line="360" w:lineRule="auto"/>
        <w:ind w:firstLine="482" w:firstLineChars="200"/>
        <w:rPr>
          <w:rFonts w:ascii="宋体" w:hAnsi="宋体"/>
          <w:b/>
          <w:sz w:val="24"/>
        </w:rPr>
      </w:pPr>
    </w:p>
    <w:p w14:paraId="3AB008FE">
      <w:pPr>
        <w:widowControl/>
        <w:snapToGrid w:val="0"/>
        <w:spacing w:line="360" w:lineRule="auto"/>
        <w:rPr>
          <w:bCs/>
          <w:sz w:val="24"/>
          <w:szCs w:val="24"/>
        </w:rPr>
      </w:pPr>
      <w:r>
        <w:rPr>
          <w:rFonts w:ascii="宋体" w:hAnsi="宋体"/>
          <w:b/>
          <w:sz w:val="24"/>
        </w:rPr>
        <w:br w:type="page"/>
      </w:r>
    </w:p>
    <w:p w14:paraId="0E55C83A">
      <w:pPr>
        <w:pStyle w:val="2"/>
        <w:jc w:val="center"/>
        <w:rPr>
          <w:rFonts w:ascii="黑体" w:hAnsi="黑体"/>
          <w:szCs w:val="32"/>
        </w:rPr>
      </w:pPr>
      <w:commentRangeStart w:id="30"/>
      <w:r>
        <w:rPr>
          <w:rFonts w:hint="eastAsia" w:ascii="黑体" w:hAnsi="黑体"/>
          <w:szCs w:val="32"/>
        </w:rPr>
        <w:t>致  谢</w:t>
      </w:r>
      <w:commentRangeEnd w:id="30"/>
      <w:r>
        <w:rPr>
          <w:rStyle w:val="33"/>
          <w:rFonts w:ascii="黑体" w:hAnsi="黑体"/>
          <w:bCs w:val="0"/>
          <w:kern w:val="2"/>
          <w:sz w:val="32"/>
          <w:szCs w:val="32"/>
        </w:rPr>
        <w:commentReference w:id="30"/>
      </w:r>
    </w:p>
    <w:p w14:paraId="6BAA5513">
      <w:pPr>
        <w:snapToGrid w:val="0"/>
        <w:spacing w:line="360" w:lineRule="auto"/>
        <w:ind w:firstLine="480" w:firstLineChars="200"/>
        <w:rPr>
          <w:sz w:val="24"/>
          <w:szCs w:val="24"/>
        </w:rPr>
      </w:pPr>
      <w:commentRangeStart w:id="31"/>
      <w:r>
        <w:rPr>
          <w:rFonts w:hint="eastAsia"/>
          <w:sz w:val="24"/>
          <w:szCs w:val="24"/>
        </w:rPr>
        <w:t>时光如梭，转眼间，研究生生涯即将结束，回首这一路风雨阳光的日子，喜悦、激动、辛酸、充实、不舍一并夹杂，但情到深处，涌上心头的首先是感谢。</w:t>
      </w:r>
      <w:commentRangeEnd w:id="31"/>
      <w:r>
        <w:rPr>
          <w:rStyle w:val="33"/>
        </w:rPr>
        <w:commentReference w:id="31"/>
      </w:r>
    </w:p>
    <w:p w14:paraId="7B1F76AA">
      <w:pPr>
        <w:wordWrap w:val="0"/>
        <w:overflowPunct w:val="0"/>
        <w:topLinePunct/>
        <w:spacing w:line="360" w:lineRule="auto"/>
        <w:ind w:firstLine="482" w:firstLineChars="200"/>
        <w:rPr>
          <w:rFonts w:ascii="宋体" w:hAnsi="宋体"/>
          <w:b/>
          <w:sz w:val="24"/>
        </w:rPr>
      </w:pPr>
    </w:p>
    <w:p w14:paraId="01184635">
      <w:pPr>
        <w:wordWrap w:val="0"/>
        <w:overflowPunct w:val="0"/>
        <w:topLinePunct/>
        <w:spacing w:line="360" w:lineRule="auto"/>
        <w:ind w:firstLine="482" w:firstLineChars="200"/>
        <w:rPr>
          <w:rFonts w:ascii="宋体" w:hAnsi="宋体"/>
          <w:b/>
          <w:sz w:val="24"/>
        </w:rPr>
      </w:pPr>
    </w:p>
    <w:p w14:paraId="1B4A143B">
      <w:pPr>
        <w:wordWrap w:val="0"/>
        <w:overflowPunct w:val="0"/>
        <w:topLinePunct/>
        <w:spacing w:line="360" w:lineRule="auto"/>
        <w:ind w:firstLine="482" w:firstLineChars="200"/>
        <w:rPr>
          <w:rFonts w:ascii="宋体" w:hAnsi="宋体"/>
          <w:b/>
          <w:sz w:val="24"/>
        </w:rPr>
      </w:pPr>
    </w:p>
    <w:p w14:paraId="03F6DF06">
      <w:pPr>
        <w:wordWrap w:val="0"/>
        <w:overflowPunct w:val="0"/>
        <w:topLinePunct/>
        <w:spacing w:line="360" w:lineRule="auto"/>
        <w:ind w:firstLine="482" w:firstLineChars="200"/>
        <w:rPr>
          <w:rFonts w:ascii="宋体" w:hAnsi="宋体"/>
          <w:b/>
          <w:sz w:val="24"/>
        </w:rPr>
      </w:pPr>
    </w:p>
    <w:p w14:paraId="30D6A204">
      <w:pPr>
        <w:wordWrap w:val="0"/>
        <w:overflowPunct w:val="0"/>
        <w:topLinePunct/>
        <w:spacing w:line="360" w:lineRule="auto"/>
        <w:ind w:firstLine="482" w:firstLineChars="200"/>
        <w:rPr>
          <w:rFonts w:ascii="宋体" w:hAnsi="宋体"/>
          <w:b/>
          <w:sz w:val="24"/>
        </w:rPr>
      </w:pPr>
    </w:p>
    <w:p w14:paraId="35123175">
      <w:pPr>
        <w:wordWrap w:val="0"/>
        <w:overflowPunct w:val="0"/>
        <w:topLinePunct/>
        <w:spacing w:line="360" w:lineRule="auto"/>
        <w:ind w:firstLine="482" w:firstLineChars="200"/>
        <w:rPr>
          <w:rFonts w:ascii="宋体" w:hAnsi="宋体"/>
          <w:b/>
          <w:sz w:val="24"/>
        </w:rPr>
      </w:pPr>
      <w:r>
        <w:rPr>
          <w:rFonts w:hint="eastAsia" w:ascii="宋体" w:hAnsi="宋体"/>
          <w:b/>
          <w:sz w:val="24"/>
        </w:rPr>
        <w:t>几点重要说明：</w:t>
      </w:r>
    </w:p>
    <w:p w14:paraId="160027F7">
      <w:pPr>
        <w:numPr>
          <w:ilvl w:val="0"/>
          <w:numId w:val="1"/>
        </w:numPr>
        <w:overflowPunct w:val="0"/>
        <w:topLinePunct/>
        <w:snapToGrid w:val="0"/>
        <w:spacing w:line="360" w:lineRule="auto"/>
        <w:ind w:firstLine="480" w:firstLineChars="200"/>
        <w:rPr>
          <w:rFonts w:ascii="宋体" w:hAnsi="宋体"/>
          <w:sz w:val="24"/>
        </w:rPr>
      </w:pPr>
      <w:r>
        <w:rPr>
          <w:rFonts w:hint="eastAsia" w:ascii="宋体" w:hAnsi="宋体"/>
          <w:sz w:val="24"/>
        </w:rPr>
        <w:t>正文中一级标题使用3号黑体字，二级标题使用4号黑体字，三级及三级以下标题使用小四号黑体字。</w:t>
      </w:r>
    </w:p>
    <w:p w14:paraId="1F09F162">
      <w:pPr>
        <w:numPr>
          <w:ilvl w:val="0"/>
          <w:numId w:val="1"/>
        </w:numPr>
        <w:overflowPunct w:val="0"/>
        <w:topLinePunct/>
        <w:snapToGrid w:val="0"/>
        <w:spacing w:line="360" w:lineRule="auto"/>
        <w:ind w:firstLine="480" w:firstLineChars="200"/>
        <w:rPr>
          <w:rFonts w:ascii="宋体" w:hAnsi="宋体"/>
          <w:sz w:val="24"/>
        </w:rPr>
      </w:pPr>
      <w:r>
        <w:rPr>
          <w:rFonts w:hint="eastAsia" w:ascii="宋体" w:hAnsi="宋体"/>
          <w:sz w:val="24"/>
        </w:rPr>
        <w:t>论文正文使用小四号宋体（中文）</w:t>
      </w:r>
    </w:p>
    <w:p w14:paraId="5B7DF2BC">
      <w:pPr>
        <w:overflowPunct w:val="0"/>
        <w:topLinePunct/>
        <w:snapToGrid w:val="0"/>
        <w:spacing w:line="360" w:lineRule="auto"/>
        <w:ind w:firstLine="480" w:firstLineChars="200"/>
        <w:rPr>
          <w:rFonts w:ascii="宋体" w:hAnsi="宋体"/>
          <w:sz w:val="24"/>
        </w:rPr>
      </w:pPr>
      <w:r>
        <w:rPr>
          <w:rFonts w:hint="eastAsia" w:ascii="宋体" w:hAnsi="宋体"/>
          <w:sz w:val="24"/>
        </w:rPr>
        <w:t>3．页边距，上下左右各2.5cm。</w:t>
      </w:r>
    </w:p>
    <w:p w14:paraId="09D60C5A">
      <w:pPr>
        <w:overflowPunct w:val="0"/>
        <w:topLinePunct/>
        <w:snapToGrid w:val="0"/>
        <w:spacing w:line="360" w:lineRule="auto"/>
        <w:ind w:firstLine="480" w:firstLineChars="200"/>
        <w:rPr>
          <w:rFonts w:ascii="宋体" w:hAnsi="宋体"/>
          <w:sz w:val="24"/>
        </w:rPr>
      </w:pPr>
      <w:r>
        <w:rPr>
          <w:rFonts w:hint="eastAsia" w:ascii="宋体" w:hAnsi="宋体"/>
          <w:sz w:val="24"/>
        </w:rPr>
        <w:t>3．论文的页面设置中的网格选择：无网格。</w:t>
      </w:r>
    </w:p>
    <w:p w14:paraId="73A47FA8">
      <w:pPr>
        <w:overflowPunct w:val="0"/>
        <w:topLinePunct/>
        <w:snapToGrid w:val="0"/>
        <w:spacing w:line="360" w:lineRule="auto"/>
        <w:ind w:firstLine="480" w:firstLineChars="200"/>
        <w:rPr>
          <w:rFonts w:ascii="宋体" w:hAnsi="宋体"/>
          <w:sz w:val="24"/>
        </w:rPr>
      </w:pPr>
      <w:r>
        <w:rPr>
          <w:rFonts w:hint="eastAsia" w:ascii="宋体" w:hAnsi="宋体"/>
          <w:sz w:val="24"/>
        </w:rPr>
        <w:t>4．摘要之前没页码，中英文摘要单独编页码（</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1 \* ROMAN</w:instrText>
      </w:r>
      <w:r>
        <w:rPr>
          <w:rFonts w:ascii="宋体" w:hAnsi="宋体"/>
          <w:sz w:val="24"/>
        </w:rPr>
        <w:instrText xml:space="preserve"> </w:instrText>
      </w:r>
      <w:r>
        <w:rPr>
          <w:rFonts w:ascii="宋体" w:hAnsi="宋体"/>
          <w:sz w:val="24"/>
        </w:rPr>
        <w:fldChar w:fldCharType="separate"/>
      </w:r>
      <w:r>
        <w:rPr>
          <w:rFonts w:ascii="宋体" w:hAnsi="宋体"/>
          <w:sz w:val="24"/>
        </w:rPr>
        <w:t>I</w:t>
      </w:r>
      <w:r>
        <w:rPr>
          <w:rFonts w:ascii="宋体" w:hAnsi="宋体"/>
          <w:sz w:val="24"/>
        </w:rPr>
        <w:fldChar w:fldCharType="end"/>
      </w:r>
      <w:r>
        <w:rPr>
          <w:rFonts w:hint="eastAsia" w:ascii="宋体" w:hAnsi="宋体"/>
          <w:sz w:val="24"/>
        </w:rPr>
        <w:t>、</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ROMAN</w:instrText>
      </w:r>
      <w:r>
        <w:rPr>
          <w:rFonts w:ascii="宋体" w:hAnsi="宋体"/>
          <w:sz w:val="24"/>
        </w:rPr>
        <w:instrText xml:space="preserve"> </w:instrText>
      </w:r>
      <w:r>
        <w:rPr>
          <w:rFonts w:ascii="宋体" w:hAnsi="宋体"/>
          <w:sz w:val="24"/>
        </w:rPr>
        <w:fldChar w:fldCharType="separate"/>
      </w:r>
      <w:r>
        <w:rPr>
          <w:rFonts w:ascii="宋体" w:hAnsi="宋体"/>
          <w:sz w:val="24"/>
        </w:rPr>
        <w:t>II</w:t>
      </w:r>
      <w:r>
        <w:rPr>
          <w:rFonts w:ascii="宋体" w:hAnsi="宋体"/>
          <w:sz w:val="24"/>
        </w:rPr>
        <w:fldChar w:fldCharType="end"/>
      </w:r>
      <w:r>
        <w:rPr>
          <w:rFonts w:hint="eastAsia" w:ascii="宋体" w:hAnsi="宋体"/>
          <w:sz w:val="24"/>
        </w:rPr>
        <w:t>、</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ROMAN</w:instrText>
      </w:r>
      <w:r>
        <w:rPr>
          <w:rFonts w:ascii="宋体" w:hAnsi="宋体"/>
          <w:sz w:val="24"/>
        </w:rPr>
        <w:instrText xml:space="preserve"> </w:instrText>
      </w:r>
      <w:r>
        <w:rPr>
          <w:rFonts w:ascii="宋体" w:hAnsi="宋体"/>
          <w:sz w:val="24"/>
        </w:rPr>
        <w:fldChar w:fldCharType="separate"/>
      </w:r>
      <w:r>
        <w:rPr>
          <w:rFonts w:ascii="宋体" w:hAnsi="宋体"/>
          <w:sz w:val="24"/>
        </w:rPr>
        <w:t>III</w:t>
      </w:r>
      <w:r>
        <w:rPr>
          <w:rFonts w:ascii="宋体" w:hAnsi="宋体"/>
          <w:sz w:val="24"/>
        </w:rPr>
        <w:fldChar w:fldCharType="end"/>
      </w:r>
      <w:r>
        <w:rPr>
          <w:rFonts w:hint="eastAsia" w:ascii="宋体" w:hAnsi="宋体"/>
          <w:sz w:val="24"/>
        </w:rPr>
        <w:t>...）。正文，即从前言（引言）开始重新编页码（123456....）。</w:t>
      </w:r>
    </w:p>
    <w:p w14:paraId="08C23B42">
      <w:pPr>
        <w:overflowPunct w:val="0"/>
        <w:topLinePunct/>
        <w:snapToGrid w:val="0"/>
        <w:spacing w:line="360" w:lineRule="auto"/>
        <w:ind w:firstLine="480" w:firstLineChars="200"/>
        <w:rPr>
          <w:rFonts w:ascii="宋体" w:hAnsi="宋体"/>
          <w:sz w:val="24"/>
        </w:rPr>
      </w:pPr>
      <w:r>
        <w:rPr>
          <w:rFonts w:hint="eastAsia" w:ascii="宋体" w:hAnsi="宋体"/>
          <w:sz w:val="24"/>
        </w:rPr>
        <w:t>5．参考文献用中括号编号，如：</w:t>
      </w:r>
      <w:r>
        <w:rPr>
          <w:sz w:val="24"/>
          <w:szCs w:val="24"/>
        </w:rPr>
        <w:t>[1]</w:t>
      </w:r>
      <w:r>
        <w:rPr>
          <w:rFonts w:hint="eastAsia" w:ascii="宋体" w:hAnsi="宋体"/>
          <w:sz w:val="24"/>
        </w:rPr>
        <w:t>，首行顶格写，每条文献要罗列所有作者。</w:t>
      </w:r>
    </w:p>
    <w:p w14:paraId="1E6803C2">
      <w:pPr>
        <w:overflowPunct w:val="0"/>
        <w:topLinePunct/>
        <w:snapToGrid w:val="0"/>
        <w:spacing w:line="360" w:lineRule="auto"/>
        <w:ind w:firstLine="480" w:firstLineChars="200"/>
        <w:rPr>
          <w:rFonts w:ascii="宋体" w:hAnsi="宋体"/>
          <w:sz w:val="24"/>
        </w:rPr>
      </w:pPr>
      <w:r>
        <w:rPr>
          <w:rFonts w:hint="eastAsia" w:ascii="宋体" w:hAnsi="宋体"/>
          <w:sz w:val="24"/>
        </w:rPr>
        <w:t>6．论文封面按照该模板标准。</w:t>
      </w:r>
    </w:p>
    <w:p w14:paraId="1764E679">
      <w:pPr>
        <w:snapToGrid w:val="0"/>
        <w:spacing w:line="360" w:lineRule="auto"/>
        <w:ind w:firstLine="480" w:firstLineChars="200"/>
      </w:pPr>
      <w:r>
        <w:rPr>
          <w:rFonts w:hint="eastAsia" w:ascii="宋体" w:hAnsi="宋体"/>
          <w:sz w:val="24"/>
        </w:rPr>
        <w:t>7．文中数字和英文字母均用</w:t>
      </w:r>
      <w:r>
        <w:rPr>
          <w:rFonts w:hint="eastAsia"/>
        </w:rPr>
        <w:t xml:space="preserve">Times New </w:t>
      </w:r>
      <w:r>
        <w:t>Roman</w:t>
      </w:r>
      <w:r>
        <w:rPr>
          <w:rFonts w:hint="eastAsia"/>
        </w:rPr>
        <w:t>字体。</w:t>
      </w:r>
    </w:p>
    <w:p w14:paraId="14EA5DE4">
      <w:pPr>
        <w:snapToGrid w:val="0"/>
        <w:spacing w:line="360" w:lineRule="auto"/>
        <w:ind w:firstLine="480" w:firstLineChars="200"/>
        <w:rPr>
          <w:sz w:val="24"/>
          <w:szCs w:val="24"/>
        </w:rPr>
      </w:pPr>
      <w:r>
        <w:rPr>
          <w:rFonts w:hint="eastAsia"/>
          <w:sz w:val="24"/>
          <w:szCs w:val="24"/>
        </w:rPr>
        <w:t>8. 正文图、表必须分别连续编号。如果一个图中包括几个小图，每个小图的编号方式为“（</w:t>
      </w:r>
      <w:r>
        <w:rPr>
          <w:sz w:val="24"/>
          <w:szCs w:val="24"/>
        </w:rPr>
        <w:t>a）、（b）、（c</w:t>
      </w:r>
      <w:r>
        <w:rPr>
          <w:rFonts w:hint="eastAsia"/>
          <w:sz w:val="24"/>
          <w:szCs w:val="24"/>
        </w:rPr>
        <w:t>）</w:t>
      </w:r>
      <w:r>
        <w:rPr>
          <w:rFonts w:hint="eastAsia" w:ascii="宋体" w:hAnsi="宋体"/>
          <w:sz w:val="24"/>
          <w:szCs w:val="24"/>
        </w:rPr>
        <w:t>……</w:t>
      </w:r>
      <w:r>
        <w:rPr>
          <w:rFonts w:hint="eastAsia"/>
          <w:sz w:val="24"/>
          <w:szCs w:val="24"/>
        </w:rPr>
        <w:t>”。如为坐标图，纵坐标轴名称、单位齐全。表中所列计算或估计结果的数字如果有小数，小数点后保留位数应保持一致。</w:t>
      </w:r>
    </w:p>
    <w:p w14:paraId="7E20B490">
      <w:pPr>
        <w:snapToGrid w:val="0"/>
        <w:spacing w:line="360" w:lineRule="auto"/>
        <w:ind w:firstLine="480" w:firstLineChars="200"/>
        <w:rPr>
          <w:rFonts w:hint="default" w:eastAsia="宋体"/>
          <w:sz w:val="24"/>
          <w:szCs w:val="24"/>
          <w:lang w:val="en-US" w:eastAsia="zh-CN"/>
        </w:rPr>
      </w:pPr>
      <w:r>
        <w:rPr>
          <w:rFonts w:hint="eastAsia"/>
          <w:sz w:val="24"/>
          <w:szCs w:val="24"/>
        </w:rPr>
        <w:t>9.图、表、公式均为每章重新编码。</w:t>
      </w:r>
      <w:r>
        <w:rPr>
          <w:rFonts w:hint="eastAsia"/>
          <w:sz w:val="24"/>
          <w:szCs w:val="24"/>
          <w:lang w:val="en-US" w:eastAsia="zh-CN"/>
        </w:rPr>
        <w:t>图的名称在图下方，表的名称在表上方</w:t>
      </w:r>
    </w:p>
    <w:p w14:paraId="1ED8C367">
      <w:pPr>
        <w:snapToGrid w:val="0"/>
        <w:spacing w:line="360" w:lineRule="auto"/>
        <w:ind w:firstLine="240" w:firstLineChars="100"/>
        <w:rPr>
          <w:sz w:val="24"/>
          <w:szCs w:val="24"/>
        </w:rPr>
      </w:pPr>
      <w:r>
        <w:rPr>
          <w:bCs/>
          <w:sz w:val="24"/>
          <w:szCs w:val="24"/>
        </w:rPr>
        <w:t xml:space="preserve"> </w:t>
      </w:r>
      <w:r>
        <w:rPr>
          <w:rFonts w:hint="eastAsia"/>
          <w:sz w:val="24"/>
          <w:szCs w:val="24"/>
        </w:rPr>
        <w:t>1</w:t>
      </w:r>
      <w:r>
        <w:rPr>
          <w:sz w:val="24"/>
          <w:szCs w:val="24"/>
        </w:rPr>
        <w:t>0.</w:t>
      </w:r>
      <w:r>
        <w:rPr>
          <w:rFonts w:hint="eastAsia"/>
          <w:sz w:val="24"/>
          <w:szCs w:val="24"/>
        </w:rPr>
        <w:t>补充解释文中内容添加</w:t>
      </w:r>
      <w:r>
        <w:rPr>
          <w:rFonts w:hint="eastAsia"/>
          <w:sz w:val="24"/>
          <w:szCs w:val="24"/>
          <w:lang w:val="en-US" w:eastAsia="zh-CN"/>
        </w:rPr>
        <w:t>页下</w:t>
      </w:r>
      <w:r>
        <w:rPr>
          <w:sz w:val="24"/>
          <w:szCs w:val="24"/>
        </w:rPr>
        <w:t>脚注</w:t>
      </w:r>
      <w:r>
        <w:rPr>
          <w:rFonts w:hint="eastAsia"/>
          <w:sz w:val="24"/>
          <w:szCs w:val="24"/>
        </w:rPr>
        <w:t>，</w:t>
      </w:r>
      <w:r>
        <w:rPr>
          <w:sz w:val="24"/>
          <w:szCs w:val="24"/>
        </w:rPr>
        <w:t>依次用</w:t>
      </w: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注明</w:t>
      </w:r>
      <w:r>
        <w:rPr>
          <w:sz w:val="24"/>
          <w:szCs w:val="24"/>
        </w:rPr>
        <w:t>。</w:t>
      </w:r>
    </w:p>
    <w:p w14:paraId="47BBF61E">
      <w:pPr>
        <w:widowControl/>
        <w:snapToGrid w:val="0"/>
        <w:spacing w:line="360" w:lineRule="auto"/>
        <w:rPr>
          <w:bCs/>
          <w:sz w:val="24"/>
          <w:szCs w:val="24"/>
        </w:rPr>
      </w:pPr>
    </w:p>
    <w:sectPr>
      <w:headerReference r:id="rId9" w:type="default"/>
      <w:footerReference r:id="rId11" w:type="default"/>
      <w:headerReference r:id="rId10" w:type="even"/>
      <w:footerReference r:id="rId12" w:type="even"/>
      <w:footnotePr>
        <w:numFmt w:val="decimalEnclosedCircleChinese"/>
        <w:numRestart w:val="eachPage"/>
      </w:footnotePr>
      <w:pgSz w:w="11906" w:h="16838"/>
      <w:pgMar w:top="1418" w:right="1418" w:bottom="1418" w:left="1418"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涓涓细流" w:date="2026-03-11T16:13:59Z" w:initials="">
    <w:p w14:paraId="291EBC58">
      <w:pPr>
        <w:pStyle w:val="8"/>
      </w:pPr>
      <w:r>
        <w:rPr>
          <w:rFonts w:hint="eastAsia"/>
        </w:rPr>
        <w:t>“硕士学位论文”六个字的字体为“黑体（标题），48”</w:t>
      </w:r>
      <w:bookmarkStart w:id="12" w:name="_GoBack"/>
      <w:bookmarkEnd w:id="12"/>
    </w:p>
  </w:comment>
  <w:comment w:id="1" w:author="　" w:date="2017-11-20T09:12:00Z" w:initials=" 　">
    <w:p w14:paraId="0CF762E3">
      <w:pPr>
        <w:rPr>
          <w:rFonts w:hint="default" w:eastAsia="宋体"/>
          <w:lang w:val="en-US" w:eastAsia="zh-CN"/>
        </w:rPr>
      </w:pPr>
      <w:r>
        <w:rPr>
          <w:rFonts w:hint="eastAsia"/>
        </w:rPr>
        <w:t>三号，黑体，中间无空格</w:t>
      </w:r>
      <w:r>
        <w:rPr>
          <w:rFonts w:hint="eastAsia"/>
          <w:lang w:val="en-US" w:eastAsia="zh-CN"/>
        </w:rPr>
        <w:t xml:space="preserve"> 英文全部用times new Roman</w:t>
      </w:r>
    </w:p>
  </w:comment>
  <w:comment w:id="2" w:author="　" w:date="2017-12-18T14:14:00Z" w:initials=" 　">
    <w:p w14:paraId="30A144A2">
      <w:r>
        <w:rPr>
          <w:rFonts w:hint="eastAsia"/>
        </w:rPr>
        <w:t>第一章内容安排按照模板所示，具体到三级标题，小四，宋体，Times New Roman，1.5倍行距，一级标题加粗。各级标题之间依次缩进2个字符。</w:t>
      </w:r>
    </w:p>
  </w:comment>
  <w:comment w:id="3" w:author="　" w:date="2017-11-20T10:38:00Z" w:initials=" 　">
    <w:p w14:paraId="06175594">
      <w:pPr>
        <w:pStyle w:val="8"/>
      </w:pPr>
      <w:r>
        <w:rPr>
          <w:rFonts w:hint="eastAsia"/>
        </w:rPr>
        <w:t>表目录另起一页，三号，黑体，中间无空格</w:t>
      </w:r>
    </w:p>
  </w:comment>
  <w:comment w:id="4" w:author="　" w:date="2017-12-18T14:14:00Z" w:initials=" 　">
    <w:p w14:paraId="342347E6">
      <w:r>
        <w:rPr>
          <w:rFonts w:hint="eastAsia"/>
        </w:rPr>
        <w:t>小四，宋体，Times New Roman，1.5倍行距，标题加粗。</w:t>
      </w:r>
    </w:p>
    <w:p w14:paraId="7F10175C">
      <w:pPr>
        <w:pStyle w:val="8"/>
      </w:pPr>
    </w:p>
  </w:comment>
  <w:comment w:id="5" w:author="　" w:date="2017-11-20T10:38:00Z" w:initials=" 　">
    <w:p w14:paraId="0E523848">
      <w:pPr>
        <w:pStyle w:val="8"/>
      </w:pPr>
      <w:r>
        <w:rPr>
          <w:rFonts w:hint="eastAsia"/>
        </w:rPr>
        <w:t>图目录另起一页。三号，黑体，中间无空格</w:t>
      </w:r>
    </w:p>
  </w:comment>
  <w:comment w:id="6" w:author="　" w:date="2017-12-18T14:14:00Z" w:initials=" 　">
    <w:p w14:paraId="2C6E4F11">
      <w:pPr>
        <w:pStyle w:val="8"/>
      </w:pPr>
      <w:r>
        <w:rPr>
          <w:rFonts w:hint="eastAsia"/>
        </w:rPr>
        <w:t>小四，宋体，Times New Roman，1.5倍行距，标题加粗。</w:t>
      </w:r>
    </w:p>
  </w:comment>
  <w:comment w:id="7" w:author="　" w:date="2017-11-20T10:40:00Z" w:initials=" 　">
    <w:p w14:paraId="3B2F3CF7">
      <w:pPr>
        <w:pStyle w:val="8"/>
      </w:pPr>
      <w:r>
        <w:rPr>
          <w:rFonts w:hint="eastAsia"/>
        </w:rPr>
        <w:t>中英文缩略词对照表另起一页。三号，黑体，中间无空格</w:t>
      </w:r>
    </w:p>
  </w:comment>
  <w:comment w:id="8" w:author="　" w:date="2017-11-20T10:42:00Z" w:initials=" 　">
    <w:p w14:paraId="266673FD">
      <w:r>
        <w:rPr>
          <w:rFonts w:hint="eastAsia"/>
          <w:sz w:val="18"/>
        </w:rPr>
        <w:t>小四号，宋体，Times New Roman</w:t>
      </w:r>
    </w:p>
  </w:comment>
  <w:comment w:id="9" w:author="　" w:date="2017-12-18T12:07:00Z" w:initials=" 　">
    <w:p w14:paraId="76B47D5B">
      <w:pPr>
        <w:pStyle w:val="8"/>
      </w:pPr>
      <w:r>
        <w:rPr>
          <w:rFonts w:hint="eastAsia"/>
          <w:color w:val="000000"/>
        </w:rPr>
        <w:t>三号，黑体，两个字中间空1个字符。</w:t>
      </w:r>
    </w:p>
  </w:comment>
  <w:comment w:id="10" w:author="　" w:date="2017-11-20T09:27:00Z" w:initials=" 　">
    <w:p w14:paraId="053A0153">
      <w:pPr>
        <w:pStyle w:val="8"/>
      </w:pPr>
      <w:r>
        <w:rPr>
          <w:rFonts w:hint="eastAsia"/>
          <w:color w:val="000000"/>
        </w:rPr>
        <w:t>小四号，宋体，</w:t>
      </w:r>
      <w:r>
        <w:rPr>
          <w:rFonts w:hint="eastAsia"/>
        </w:rPr>
        <w:t>Times New Roman，首行缩进2字符</w:t>
      </w:r>
    </w:p>
  </w:comment>
  <w:comment w:id="11" w:author="　" w:date="2017-11-20T09:15:00Z" w:initials=" 　">
    <w:p w14:paraId="5C4D2050">
      <w:pPr>
        <w:pStyle w:val="8"/>
      </w:pPr>
      <w:r>
        <w:rPr>
          <w:rFonts w:hint="eastAsia"/>
          <w:color w:val="000000"/>
        </w:rPr>
        <w:t>三号，</w:t>
      </w:r>
      <w:r>
        <w:rPr>
          <w:rFonts w:hint="eastAsia"/>
        </w:rPr>
        <w:t>Times New Roman 加粗。</w:t>
      </w:r>
    </w:p>
  </w:comment>
  <w:comment w:id="12" w:author="　" w:date="2017-12-18T14:16:00Z" w:initials=" 　">
    <w:p w14:paraId="15DD7D33">
      <w:pPr>
        <w:pStyle w:val="8"/>
      </w:pPr>
      <w:r>
        <w:rPr>
          <w:rFonts w:hint="eastAsia"/>
        </w:rPr>
        <w:t>小四，Times New Roman，1.5倍行距</w:t>
      </w:r>
    </w:p>
  </w:comment>
  <w:comment w:id="13" w:author="　" w:date="2017-12-18T15:10:00Z" w:initials=" 　">
    <w:p w14:paraId="31CB531E">
      <w:pPr>
        <w:wordWrap w:val="0"/>
        <w:overflowPunct w:val="0"/>
        <w:topLinePunct/>
        <w:spacing w:line="360" w:lineRule="auto"/>
        <w:rPr>
          <w:rFonts w:ascii="宋体" w:hAnsi="宋体"/>
          <w:sz w:val="24"/>
        </w:rPr>
      </w:pPr>
      <w:r>
        <w:rPr>
          <w:rFonts w:hint="eastAsia" w:ascii="宋体" w:hAnsi="宋体"/>
          <w:sz w:val="24"/>
        </w:rPr>
        <w:t>正文中一级标题使用</w:t>
      </w:r>
      <w:r>
        <w:rPr>
          <w:rFonts w:hint="eastAsia" w:ascii="宋体" w:hAnsi="宋体"/>
          <w:color w:val="FF0000"/>
          <w:sz w:val="24"/>
        </w:rPr>
        <w:t>三</w:t>
      </w:r>
      <w:r>
        <w:rPr>
          <w:rFonts w:hint="eastAsia" w:ascii="宋体" w:hAnsi="宋体"/>
          <w:sz w:val="24"/>
        </w:rPr>
        <w:t>号黑体字，二级标题使用</w:t>
      </w:r>
      <w:r>
        <w:rPr>
          <w:rFonts w:hint="eastAsia" w:ascii="宋体" w:hAnsi="宋体"/>
          <w:color w:val="FF0000"/>
          <w:sz w:val="24"/>
        </w:rPr>
        <w:t>四</w:t>
      </w:r>
      <w:r>
        <w:rPr>
          <w:rFonts w:hint="eastAsia" w:ascii="宋体" w:hAnsi="宋体"/>
          <w:sz w:val="24"/>
        </w:rPr>
        <w:t>号黑体字，三级及三级以下标题使用小四号黑体字。一、二、三级标题首行均不缩进。正文使用小四号宋体。标题和正文中出现的数字和英文字母统一用Times New Roman字体。标题正文均使用1.5倍行距。段前段后为“0”行，段前首行缩进2字符。页边距上下左右均为2.5厘米。</w:t>
      </w:r>
    </w:p>
  </w:comment>
  <w:comment w:id="14" w:author="　" w:date="2017-11-20T09:29:00Z" w:initials=" 　">
    <w:p w14:paraId="22B2153B">
      <w:pPr>
        <w:pStyle w:val="8"/>
      </w:pPr>
      <w:r>
        <w:rPr>
          <w:rFonts w:hint="eastAsia"/>
        </w:rPr>
        <w:t>文中引用可根据需要决定引用方式。可以用前引用，如“张三（2012）认为……”，也可以用后引用，如“……（张三，2012）”</w:t>
      </w:r>
    </w:p>
  </w:comment>
  <w:comment w:id="15" w:author="xbany" w:date="2017-12-18T12:10:00Z" w:initials="xb21cn">
    <w:p w14:paraId="0CB97065">
      <w:pPr>
        <w:pStyle w:val="8"/>
      </w:pPr>
      <w:r>
        <w:rPr>
          <w:rFonts w:hint="eastAsia"/>
        </w:rPr>
        <w:t>每章开始要另起一页。</w:t>
      </w:r>
    </w:p>
  </w:comment>
  <w:comment w:id="16" w:author="xbany" w:date="2017-12-18T16:07:00Z" w:initials="xb21cn">
    <w:p w14:paraId="009C3064">
      <w:pPr>
        <w:snapToGrid w:val="0"/>
        <w:jc w:val="center"/>
        <w:rPr>
          <w:rFonts w:eastAsia="黑体"/>
        </w:rPr>
      </w:pPr>
      <w:r>
        <w:rPr>
          <w:rFonts w:hint="eastAsia" w:eastAsia="黑体"/>
        </w:rPr>
        <w:t>图例置于表下，多线条的用不同的虚线线条格式，统一采用</w:t>
      </w:r>
      <w:r>
        <w:rPr>
          <w:rFonts w:hint="eastAsia" w:eastAsia="黑体"/>
          <w:lang w:eastAsia="zh-CN"/>
        </w:rPr>
        <w:t>彩色或黑白</w:t>
      </w:r>
      <w:r>
        <w:rPr>
          <w:rFonts w:hint="eastAsia" w:eastAsia="黑体"/>
        </w:rPr>
        <w:t>图。</w:t>
      </w:r>
      <w:r>
        <w:rPr>
          <w:rFonts w:hint="eastAsia"/>
          <w:sz w:val="18"/>
        </w:rPr>
        <w:t>图中文字，五号，宋体，Times New Roman。</w:t>
      </w:r>
    </w:p>
  </w:comment>
  <w:comment w:id="17" w:author="xbany" w:date="2017-12-18T16:02:00Z" w:initials="xb21cn">
    <w:p w14:paraId="16C32EBA">
      <w:pPr>
        <w:pStyle w:val="8"/>
      </w:pPr>
      <w:r>
        <w:rPr>
          <w:rFonts w:hint="eastAsia"/>
          <w:sz w:val="18"/>
        </w:rPr>
        <w:t>插图注释放图下，中文（五号，宋体）在前，英文（五号，Times New Roman）在后，单倍行距，居中。图采用“N.N”形式。</w:t>
      </w:r>
    </w:p>
  </w:comment>
  <w:comment w:id="18" w:author="xbany" w:date="2017-12-18T16:10:00Z" w:initials="xb21cn">
    <w:p w14:paraId="5B585B6C">
      <w:pPr>
        <w:pStyle w:val="8"/>
      </w:pPr>
      <w:r>
        <w:rPr>
          <w:rFonts w:hint="eastAsia"/>
        </w:rPr>
        <w:t>数据来源首行缩进2个字符，要将数据来源信息描述</w:t>
      </w:r>
    </w:p>
    <w:p w14:paraId="0FDC6551">
      <w:pPr>
        <w:pStyle w:val="8"/>
      </w:pPr>
      <w:r>
        <w:rPr>
          <w:rFonts w:hint="eastAsia"/>
        </w:rPr>
        <w:t>详细。</w:t>
      </w:r>
    </w:p>
  </w:comment>
  <w:comment w:id="19" w:author="xbany" w:date="2017-12-18T16:08:00Z" w:initials="xb21cn">
    <w:p w14:paraId="169645C6">
      <w:pPr>
        <w:pStyle w:val="8"/>
      </w:pPr>
      <w:r>
        <w:rPr>
          <w:rFonts w:hint="eastAsia"/>
        </w:rPr>
        <w:t>柱状图采用不同的图形填充形式，</w:t>
      </w:r>
      <w:r>
        <w:rPr>
          <w:rFonts w:hint="eastAsia"/>
          <w:lang w:eastAsia="zh-CN"/>
        </w:rPr>
        <w:t>彩色或黑白</w:t>
      </w:r>
      <w:r>
        <w:rPr>
          <w:rFonts w:hint="eastAsia"/>
        </w:rPr>
        <w:t>图。</w:t>
      </w:r>
    </w:p>
  </w:comment>
  <w:comment w:id="20" w:author="xbany" w:date="2017-12-18T16:10:00Z" w:initials="xb21cn">
    <w:p w14:paraId="3E5652E9">
      <w:pPr>
        <w:pStyle w:val="8"/>
      </w:pPr>
      <w:r>
        <w:rPr>
          <w:rFonts w:hint="eastAsia"/>
        </w:rPr>
        <w:t>数据来源首行缩进2个字符，要将数据来源信息描述</w:t>
      </w:r>
    </w:p>
    <w:p w14:paraId="195854CF">
      <w:pPr>
        <w:pStyle w:val="8"/>
      </w:pPr>
      <w:r>
        <w:rPr>
          <w:rFonts w:hint="eastAsia"/>
        </w:rPr>
        <w:t>详细。</w:t>
      </w:r>
    </w:p>
  </w:comment>
  <w:comment w:id="21" w:author="xbany" w:date="2017-12-18T12:14:00Z" w:initials="xb21cn">
    <w:p w14:paraId="20553D52">
      <w:pPr>
        <w:pStyle w:val="8"/>
        <w:rPr>
          <w:sz w:val="18"/>
        </w:rPr>
      </w:pPr>
      <w:r>
        <w:rPr>
          <w:rFonts w:hint="eastAsia"/>
          <w:sz w:val="18"/>
        </w:rPr>
        <w:t>表格用三线表（简明型）。单位统一的表，要将单位列于标题中。表采用“N.N”形式。</w:t>
      </w:r>
    </w:p>
    <w:p w14:paraId="2B015F69">
      <w:pPr>
        <w:pStyle w:val="8"/>
      </w:pPr>
      <w:r>
        <w:rPr>
          <w:rFonts w:hint="eastAsia"/>
          <w:sz w:val="18"/>
        </w:rPr>
        <w:t>中文（五号，宋体）在前，英文（五号，Times New Roman）在后，单倍行距，居中。</w:t>
      </w:r>
    </w:p>
  </w:comment>
  <w:comment w:id="22" w:author="xbany" w:date="2017-12-18T12:14:00Z" w:initials="xb21cn">
    <w:p w14:paraId="51842A2C">
      <w:pPr>
        <w:pStyle w:val="8"/>
      </w:pPr>
      <w:r>
        <w:rPr>
          <w:rFonts w:hint="eastAsia"/>
          <w:sz w:val="18"/>
        </w:rPr>
        <w:t>五号，宋体，Times New Roman，要调整为“根据窗口调整表格大小”</w:t>
      </w:r>
    </w:p>
  </w:comment>
  <w:comment w:id="23" w:author="xbany" w:date="2017-12-18T12:14:00Z" w:initials="xb21cn">
    <w:p w14:paraId="26AF4CE6">
      <w:pPr>
        <w:pStyle w:val="8"/>
      </w:pPr>
      <w:r>
        <w:rPr>
          <w:rFonts w:hint="eastAsia"/>
        </w:rPr>
        <w:t>缩进2个字符，</w:t>
      </w:r>
      <w:r>
        <w:rPr>
          <w:rFonts w:hint="eastAsia"/>
          <w:sz w:val="18"/>
        </w:rPr>
        <w:t>中文（五号，宋体），英文和数字（五号，Times New Roman）。数据来源和表格注释放表下方。</w:t>
      </w:r>
    </w:p>
  </w:comment>
  <w:comment w:id="24" w:author="xbany" w:date="2017-12-18T15:00:00Z" w:initials="xb21cn">
    <w:p w14:paraId="790614F1">
      <w:pPr>
        <w:pStyle w:val="8"/>
      </w:pPr>
      <w:r>
        <w:rPr>
          <w:rFonts w:hint="eastAsia"/>
        </w:rPr>
        <w:t>表格内容单位不一致时，要分别在列表头列出各指标单位。</w:t>
      </w:r>
    </w:p>
  </w:comment>
  <w:comment w:id="25" w:author="xbany" w:date="2017-12-18T15:02:00Z" w:initials="xb21cn">
    <w:p w14:paraId="78CB1B29">
      <w:pPr>
        <w:pStyle w:val="8"/>
      </w:pPr>
      <w:r>
        <w:rPr>
          <w:rFonts w:hint="eastAsia"/>
        </w:rPr>
        <w:t>公式格式为N.N，用</w:t>
      </w:r>
      <w:r>
        <w:rPr>
          <w:rFonts w:hint="eastAsia"/>
          <w:sz w:val="24"/>
          <w:szCs w:val="24"/>
        </w:rPr>
        <w:t>Mathtype输入，公式居中排列，公式编号右对齐，每章重新排序。</w:t>
      </w:r>
    </w:p>
  </w:comment>
  <w:comment w:id="26" w:author="　" w:date="2017-11-20T09:31:00Z" w:initials=" 　">
    <w:p w14:paraId="53B04636">
      <w:r>
        <w:rPr>
          <w:rFonts w:hint="eastAsia"/>
          <w:sz w:val="18"/>
        </w:rPr>
        <w:t>三号，黑体，居中</w:t>
      </w:r>
    </w:p>
  </w:comment>
  <w:comment w:id="27" w:author="xbany" w:date="2017-12-18T16:10:00Z" w:initials="xb21cn">
    <w:p w14:paraId="1ADF1007">
      <w:pPr>
        <w:pStyle w:val="8"/>
      </w:pPr>
      <w:r>
        <w:rPr>
          <w:rFonts w:hint="eastAsia"/>
          <w:sz w:val="18"/>
        </w:rPr>
        <w:t>英文在前，中文在后。中文（五号，宋体），英文（五号，Times New Roman），1.5倍行距。中英文按照字母和姓氏拼音排序。相同作者的文献按出版年限排序，并标明作者a、作者b</w:t>
      </w:r>
      <w:r>
        <w:rPr>
          <w:sz w:val="18"/>
        </w:rPr>
        <w:t>…</w:t>
      </w:r>
      <w:r>
        <w:rPr>
          <w:rFonts w:hint="eastAsia"/>
          <w:sz w:val="18"/>
        </w:rPr>
        <w:t>..，各类型的参考文献格式参照该目录。</w:t>
      </w:r>
    </w:p>
  </w:comment>
  <w:comment w:id="28" w:author="xbany" w:date="2017-12-18T14:39:00Z" w:initials="xb21cn">
    <w:p w14:paraId="2E75302D">
      <w:pPr>
        <w:pStyle w:val="8"/>
      </w:pPr>
      <w:r>
        <w:rPr>
          <w:rFonts w:hint="eastAsia"/>
          <w:sz w:val="18"/>
        </w:rPr>
        <w:t>三号，黑体</w:t>
      </w:r>
    </w:p>
  </w:comment>
  <w:comment w:id="29" w:author="xbany" w:date="2017-12-18T14:42:00Z" w:initials="xb21cn">
    <w:p w14:paraId="01A719F3">
      <w:pPr>
        <w:pStyle w:val="8"/>
      </w:pPr>
      <w:r>
        <w:rPr>
          <w:rFonts w:hint="eastAsia" w:ascii="宋体" w:hAnsi="宋体"/>
          <w:sz w:val="24"/>
        </w:rPr>
        <w:t>五号宋体。数字和英文字母统一用Times New Roman字体。</w:t>
      </w:r>
    </w:p>
  </w:comment>
  <w:comment w:id="30" w:author="　" w:date="2017-12-18T16:06:00Z" w:initials=" 　">
    <w:p w14:paraId="6521746F">
      <w:r>
        <w:rPr>
          <w:rFonts w:hint="eastAsia"/>
          <w:sz w:val="18"/>
        </w:rPr>
        <w:t>三号，黑体，居中</w:t>
      </w:r>
    </w:p>
  </w:comment>
  <w:comment w:id="31" w:author="xbany" w:date="2017-12-18T16:06:00Z" w:initials="xb21cn">
    <w:p w14:paraId="316A23DB">
      <w:pPr>
        <w:pStyle w:val="8"/>
      </w:pPr>
      <w:r>
        <w:rPr>
          <w:rFonts w:hint="eastAsia" w:ascii="宋体" w:hAnsi="宋体"/>
          <w:sz w:val="24"/>
        </w:rPr>
        <w:t>小四号宋体。数字和英文字母统一用Times New Roman字体。</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1EBC58" w15:done="0"/>
  <w15:commentEx w15:paraId="0CF762E3" w15:done="0"/>
  <w15:commentEx w15:paraId="30A144A2" w15:done="0"/>
  <w15:commentEx w15:paraId="06175594" w15:done="0"/>
  <w15:commentEx w15:paraId="7F10175C" w15:done="0"/>
  <w15:commentEx w15:paraId="0E523848" w15:done="0"/>
  <w15:commentEx w15:paraId="2C6E4F11" w15:done="0"/>
  <w15:commentEx w15:paraId="3B2F3CF7" w15:done="0"/>
  <w15:commentEx w15:paraId="266673FD" w15:done="0"/>
  <w15:commentEx w15:paraId="76B47D5B" w15:done="0"/>
  <w15:commentEx w15:paraId="053A0153" w15:done="0"/>
  <w15:commentEx w15:paraId="5C4D2050" w15:done="0"/>
  <w15:commentEx w15:paraId="15DD7D33" w15:done="0"/>
  <w15:commentEx w15:paraId="31CB531E" w15:done="0"/>
  <w15:commentEx w15:paraId="22B2153B" w15:done="0"/>
  <w15:commentEx w15:paraId="0CB97065" w15:done="0"/>
  <w15:commentEx w15:paraId="009C3064" w15:done="0"/>
  <w15:commentEx w15:paraId="16C32EBA" w15:done="0"/>
  <w15:commentEx w15:paraId="0FDC6551" w15:done="0"/>
  <w15:commentEx w15:paraId="169645C6" w15:done="0"/>
  <w15:commentEx w15:paraId="195854CF" w15:done="0"/>
  <w15:commentEx w15:paraId="2B015F69" w15:done="0"/>
  <w15:commentEx w15:paraId="51842A2C" w15:done="0"/>
  <w15:commentEx w15:paraId="26AF4CE6" w15:done="0"/>
  <w15:commentEx w15:paraId="790614F1" w15:done="0"/>
  <w15:commentEx w15:paraId="78CB1B29" w15:done="0"/>
  <w15:commentEx w15:paraId="53B04636" w15:done="0"/>
  <w15:commentEx w15:paraId="1ADF1007" w15:done="0"/>
  <w15:commentEx w15:paraId="2E75302D" w15:done="0"/>
  <w15:commentEx w15:paraId="01A719F3" w15:done="0"/>
  <w15:commentEx w15:paraId="6521746F" w15:done="0"/>
  <w15:commentEx w15:paraId="316A23D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舒体">
    <w:panose1 w:val="02010601030101010101"/>
    <w:charset w:val="86"/>
    <w:family w:val="auto"/>
    <w:pitch w:val="default"/>
    <w:sig w:usb0="00000003" w:usb1="080E0000" w:usb2="00000000" w:usb3="00000000" w:csb0="00040000" w:csb1="00000000"/>
  </w:font>
  <w:font w:name="Georgia">
    <w:panose1 w:val="02040502050405020303"/>
    <w:charset w:val="00"/>
    <w:family w:val="roman"/>
    <w:pitch w:val="default"/>
    <w:sig w:usb0="00000287" w:usb1="00000000" w:usb2="00000000" w:usb3="00000000" w:csb0="2000009F" w:csb1="00000000"/>
  </w:font>
  <w:font w:name="Times New Roman PS MT">
    <w:altName w:val="Times New Roman"/>
    <w:panose1 w:val="00000000000000000000"/>
    <w:charset w:val="00"/>
    <w:family w:val="auto"/>
    <w:pitch w:val="default"/>
    <w:sig w:usb0="00000000" w:usb1="00000000" w:usb2="00000000" w:usb3="00000000" w:csb0="00000000" w:csb1="00000000"/>
  </w:font>
  <w:font w:name="汉仪报宋简">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D9FE9">
    <w:pPr>
      <w:pStyle w:val="1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38100" cy="131445"/>
              <wp:effectExtent l="0" t="0" r="0" b="1905"/>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100" cy="131445"/>
                      </a:xfrm>
                      <a:prstGeom prst="rect">
                        <a:avLst/>
                      </a:prstGeom>
                      <a:noFill/>
                      <a:ln>
                        <a:noFill/>
                      </a:ln>
                    </wps:spPr>
                    <wps:txbx>
                      <w:txbxContent>
                        <w:p w14:paraId="31D457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3pt;mso-position-horizontal:center;mso-position-horizontal-relative:margin;mso-wrap-style:none;z-index:251663360;mso-width-relative:page;mso-height-relative:page;" filled="f" stroked="f" coordsize="21600,21600" o:gfxdata="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cjzwAAAAIBAAAPAAAAAAAAAAEAIAAAACIAAABkcnMvZG93&#10;bnJldi54bWxQSwECFAAUAAAACACHTuJAzt+uzAkCAAABBAAADgAAAAAAAAABACAAAAAeAQAAZHJz&#10;L2Uyb0RvYy54bWxQSwUGAAAAAAYABgBZAQAAmQUAAAAA&#10;">
              <v:fill on="f" focussize="0,0"/>
              <v:stroke on="f"/>
              <v:imagedata o:title=""/>
              <o:lock v:ext="edit" aspectratio="f"/>
              <v:textbox inset="0mm,0mm,0mm,0mm" style="mso-fit-shape-to-text:t;">
                <w:txbxContent>
                  <w:p w14:paraId="31D457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61DB4">
    <w:pPr>
      <w:pStyle w:val="1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76200" cy="131445"/>
              <wp:effectExtent l="0" t="0" r="18415" b="1905"/>
              <wp:wrapNone/>
              <wp:docPr id="6" name="文本框 9"/>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wps:spPr>
                    <wps:txbx>
                      <w:txbxContent>
                        <w:p w14:paraId="69F332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VI</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0.35pt;width:6pt;mso-position-horizontal:center;mso-position-horizontal-relative:margin;mso-wrap-style:none;z-index:251664384;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0Ow2Kc8AAAADAQAADwAAAAAAAAABACAAAAAiAAAAZHJzL2Rv&#10;d25yZXYueG1sUEsBAhQAFAAAAAgAh07iQC6QZ04KAgAAAQQAAA4AAAAAAAAAAQAgAAAAHgEAAGRy&#10;cy9lMm9Eb2MueG1sUEsFBgAAAAAGAAYAWQEAAJoFAAAAAA==&#10;">
              <v:fill on="f" focussize="0,0"/>
              <v:stroke on="f"/>
              <v:imagedata o:title=""/>
              <o:lock v:ext="edit" aspectratio="f"/>
              <v:textbox inset="0mm,0mm,0mm,0mm" style="mso-fit-shape-to-text:t;">
                <w:txbxContent>
                  <w:p w14:paraId="69F332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VI</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1200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8B2DC">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3"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620463B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Pi91E0AAAAAIBAAAPAAAAAAAAAAEAIAAAACIAAABkcnMv&#10;ZG93bnJldi54bWxQSwECFAAUAAAACACHTuJAtGifcAsCAAABBAAADgAAAAAAAAABACAAAAAfAQAA&#10;ZHJzL2Uyb0RvYy54bWxQSwUGAAAAAAYABgBZAQAAnAUAAAAA&#10;">
              <v:fill on="f" focussize="0,0"/>
              <v:stroke on="f"/>
              <v:imagedata o:title=""/>
              <o:lock v:ext="edit" aspectratio="f"/>
              <v:textbox inset="0mm,0mm,0mm,0mm" style="mso-fit-shape-to-text:t;">
                <w:txbxContent>
                  <w:p w14:paraId="620463B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C1A18">
    <w:pPr>
      <w:pStyle w:val="1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28D663B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4vdRNAAAAACAQAADwAAAAAAAAABACAAAAAiAAAAZHJz&#10;L2Rvd25yZXYueG1sUEsBAhQAFAAAAAgAh07iQElhYnYMAgAAAgQAAA4AAAAAAAAAAQAgAAAAHwEA&#10;AGRycy9lMm9Eb2MueG1sUEsFBgAAAAAGAAYAWQEAAJ0FAAAAAA==&#10;">
              <v:fill on="f" focussize="0,0"/>
              <v:stroke on="f"/>
              <v:imagedata o:title=""/>
              <o:lock v:ext="edit" aspectratio="f"/>
              <v:textbox inset="0mm,0mm,0mm,0mm" style="mso-fit-shape-to-text:t;">
                <w:txbxContent>
                  <w:p w14:paraId="28D663B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0DDAE44A">
      <w:pPr>
        <w:pStyle w:val="21"/>
      </w:pPr>
      <w:r>
        <w:rPr>
          <w:rStyle w:val="34"/>
        </w:rPr>
        <w:footnoteRef/>
      </w:r>
      <w:r>
        <w:rPr>
          <w:rFonts w:hint="eastAsia"/>
        </w:rPr>
        <w:t>数据来源：中国保险监督管理委员会，中国农业保险保障水平研究报告（第8页）：第2部分中国农业保险保障水平实证分析，2017年。</w:t>
      </w:r>
    </w:p>
  </w:footnote>
  <w:footnote w:id="1">
    <w:p w14:paraId="2174AD0C">
      <w:pPr>
        <w:pStyle w:val="21"/>
      </w:pPr>
      <w:r>
        <w:rPr>
          <w:rStyle w:val="34"/>
        </w:rPr>
        <w:footnoteRef/>
      </w:r>
      <w:r>
        <w:t xml:space="preserve"> </w:t>
      </w:r>
      <w:r>
        <w:rPr>
          <w:rFonts w:hint="eastAsia"/>
        </w:rPr>
        <w:t>数据来源：山东统计年鉴：第十三篇，农业篇，2015年。</w:t>
      </w:r>
    </w:p>
  </w:footnote>
  <w:footnote w:id="2">
    <w:p w14:paraId="141F67C0">
      <w:pPr>
        <w:pStyle w:val="21"/>
      </w:pPr>
      <w:r>
        <w:rPr>
          <w:rStyle w:val="34"/>
        </w:rPr>
        <w:footnoteRef/>
      </w:r>
      <w:r>
        <w:rPr>
          <w:rFonts w:hint="eastAsia"/>
        </w:rPr>
        <w:t>根据中国知网文献查询总结，信息截止到2017年1月。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C3E3">
    <w:pPr>
      <w:pStyle w:val="17"/>
      <w:rPr>
        <w:sz w:val="21"/>
        <w:szCs w:val="21"/>
      </w:rPr>
    </w:pPr>
    <w:r>
      <w:rPr>
        <w:rFonts w:hint="eastAsia"/>
        <w:sz w:val="21"/>
        <w:szCs w:val="21"/>
      </w:rPr>
      <w:t>山东农业大学硕士专业学位论文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80D8F">
    <w:pPr>
      <w:pStyle w:val="17"/>
      <w:pBdr>
        <w:bottom w:val="single" w:color="auto" w:sz="4" w:space="1"/>
      </w:pBdr>
      <w:rPr>
        <w:sz w:val="21"/>
        <w:szCs w:val="21"/>
      </w:rPr>
    </w:pPr>
    <w:r>
      <w:rPr>
        <w:rFonts w:hint="eastAsia"/>
        <w:sz w:val="21"/>
        <w:szCs w:val="21"/>
      </w:rPr>
      <w:t>农业—以山东省为例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7B833"/>
    <w:multiLevelType w:val="singleLevel"/>
    <w:tmpl w:val="5A37B833"/>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xbany">
    <w15:presenceInfo w15:providerId="None" w15:userId="xbany"/>
  </w15:person>
  <w15:person w15:author="涓涓细流">
    <w15:presenceInfo w15:providerId="WPS Office" w15:userId="203238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doNotValidateAgainstSchema/>
  <w:doNotDemarcateInvalidXml/>
  <w:footnotePr>
    <w:footnote w:id="6"/>
    <w:footnote w:id="7"/>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FD"/>
    <w:rsid w:val="00000EDB"/>
    <w:rsid w:val="0000242E"/>
    <w:rsid w:val="00006824"/>
    <w:rsid w:val="0001323E"/>
    <w:rsid w:val="000179B5"/>
    <w:rsid w:val="00020081"/>
    <w:rsid w:val="000211DF"/>
    <w:rsid w:val="0002186F"/>
    <w:rsid w:val="00025E8A"/>
    <w:rsid w:val="000303E7"/>
    <w:rsid w:val="0003091F"/>
    <w:rsid w:val="000318B0"/>
    <w:rsid w:val="00031B31"/>
    <w:rsid w:val="000332C4"/>
    <w:rsid w:val="00033303"/>
    <w:rsid w:val="000345A1"/>
    <w:rsid w:val="00036130"/>
    <w:rsid w:val="00037ED0"/>
    <w:rsid w:val="00040B88"/>
    <w:rsid w:val="00040DDF"/>
    <w:rsid w:val="00042419"/>
    <w:rsid w:val="00045582"/>
    <w:rsid w:val="00045A41"/>
    <w:rsid w:val="00050B4F"/>
    <w:rsid w:val="000525A0"/>
    <w:rsid w:val="000543A0"/>
    <w:rsid w:val="00054B78"/>
    <w:rsid w:val="000559DE"/>
    <w:rsid w:val="00057268"/>
    <w:rsid w:val="00061FE5"/>
    <w:rsid w:val="0006255C"/>
    <w:rsid w:val="000654B1"/>
    <w:rsid w:val="00071544"/>
    <w:rsid w:val="00071C10"/>
    <w:rsid w:val="00072D32"/>
    <w:rsid w:val="00083282"/>
    <w:rsid w:val="0008694A"/>
    <w:rsid w:val="00086EE6"/>
    <w:rsid w:val="00091972"/>
    <w:rsid w:val="00095098"/>
    <w:rsid w:val="000978C3"/>
    <w:rsid w:val="000A015F"/>
    <w:rsid w:val="000A0734"/>
    <w:rsid w:val="000A0B98"/>
    <w:rsid w:val="000A61F7"/>
    <w:rsid w:val="000A6ABE"/>
    <w:rsid w:val="000B07D8"/>
    <w:rsid w:val="000B0CFD"/>
    <w:rsid w:val="000B111F"/>
    <w:rsid w:val="000B116D"/>
    <w:rsid w:val="000B183E"/>
    <w:rsid w:val="000B6E5D"/>
    <w:rsid w:val="000B7A98"/>
    <w:rsid w:val="000B7CA5"/>
    <w:rsid w:val="000C0922"/>
    <w:rsid w:val="000C19A1"/>
    <w:rsid w:val="000C301A"/>
    <w:rsid w:val="000C31CB"/>
    <w:rsid w:val="000C445C"/>
    <w:rsid w:val="000C4B02"/>
    <w:rsid w:val="000C4F44"/>
    <w:rsid w:val="000C5A02"/>
    <w:rsid w:val="000C76FE"/>
    <w:rsid w:val="000D04BE"/>
    <w:rsid w:val="000D21F7"/>
    <w:rsid w:val="000D470B"/>
    <w:rsid w:val="000E0453"/>
    <w:rsid w:val="000E14EF"/>
    <w:rsid w:val="000E37FC"/>
    <w:rsid w:val="000F5C47"/>
    <w:rsid w:val="000F6AE5"/>
    <w:rsid w:val="00100325"/>
    <w:rsid w:val="00101F48"/>
    <w:rsid w:val="00105364"/>
    <w:rsid w:val="00105DF9"/>
    <w:rsid w:val="00114A87"/>
    <w:rsid w:val="00115491"/>
    <w:rsid w:val="00115F79"/>
    <w:rsid w:val="0011627E"/>
    <w:rsid w:val="00117ABC"/>
    <w:rsid w:val="00121AD8"/>
    <w:rsid w:val="00121EAD"/>
    <w:rsid w:val="00122970"/>
    <w:rsid w:val="00122BAB"/>
    <w:rsid w:val="00123EA2"/>
    <w:rsid w:val="00124D4A"/>
    <w:rsid w:val="00126831"/>
    <w:rsid w:val="00127A24"/>
    <w:rsid w:val="00130E25"/>
    <w:rsid w:val="00132AA3"/>
    <w:rsid w:val="00133298"/>
    <w:rsid w:val="001359EC"/>
    <w:rsid w:val="00136124"/>
    <w:rsid w:val="001425AD"/>
    <w:rsid w:val="00142F3B"/>
    <w:rsid w:val="00143F36"/>
    <w:rsid w:val="00144799"/>
    <w:rsid w:val="001448D0"/>
    <w:rsid w:val="00145950"/>
    <w:rsid w:val="00145C44"/>
    <w:rsid w:val="00145C67"/>
    <w:rsid w:val="00145E8C"/>
    <w:rsid w:val="00147FC3"/>
    <w:rsid w:val="00150171"/>
    <w:rsid w:val="001521C7"/>
    <w:rsid w:val="0015471F"/>
    <w:rsid w:val="00154BCB"/>
    <w:rsid w:val="00155EB3"/>
    <w:rsid w:val="00155F9D"/>
    <w:rsid w:val="00156D97"/>
    <w:rsid w:val="00164A1F"/>
    <w:rsid w:val="00167A06"/>
    <w:rsid w:val="00167BDD"/>
    <w:rsid w:val="001705D5"/>
    <w:rsid w:val="00172869"/>
    <w:rsid w:val="00172A27"/>
    <w:rsid w:val="00176157"/>
    <w:rsid w:val="00177B39"/>
    <w:rsid w:val="00183521"/>
    <w:rsid w:val="00184140"/>
    <w:rsid w:val="00186CD6"/>
    <w:rsid w:val="00186ED5"/>
    <w:rsid w:val="001901B5"/>
    <w:rsid w:val="001911B9"/>
    <w:rsid w:val="00192A70"/>
    <w:rsid w:val="00194055"/>
    <w:rsid w:val="00194705"/>
    <w:rsid w:val="00194F73"/>
    <w:rsid w:val="00196C59"/>
    <w:rsid w:val="001971B9"/>
    <w:rsid w:val="001A2965"/>
    <w:rsid w:val="001A40F9"/>
    <w:rsid w:val="001A544D"/>
    <w:rsid w:val="001A58C6"/>
    <w:rsid w:val="001A73D3"/>
    <w:rsid w:val="001B645B"/>
    <w:rsid w:val="001B684D"/>
    <w:rsid w:val="001C0047"/>
    <w:rsid w:val="001C21C5"/>
    <w:rsid w:val="001C29C5"/>
    <w:rsid w:val="001C3D46"/>
    <w:rsid w:val="001C5B1A"/>
    <w:rsid w:val="001D0C95"/>
    <w:rsid w:val="001D14A5"/>
    <w:rsid w:val="001D17E4"/>
    <w:rsid w:val="001D44AF"/>
    <w:rsid w:val="001D4FD5"/>
    <w:rsid w:val="001D506A"/>
    <w:rsid w:val="001D5CFC"/>
    <w:rsid w:val="001E414D"/>
    <w:rsid w:val="001E44C9"/>
    <w:rsid w:val="001E7A53"/>
    <w:rsid w:val="001F22D5"/>
    <w:rsid w:val="001F23EB"/>
    <w:rsid w:val="001F31F3"/>
    <w:rsid w:val="001F324D"/>
    <w:rsid w:val="001F3FD9"/>
    <w:rsid w:val="001F744C"/>
    <w:rsid w:val="002004EF"/>
    <w:rsid w:val="002007B4"/>
    <w:rsid w:val="00200B8A"/>
    <w:rsid w:val="00203588"/>
    <w:rsid w:val="00205366"/>
    <w:rsid w:val="002077DF"/>
    <w:rsid w:val="00207E25"/>
    <w:rsid w:val="00212289"/>
    <w:rsid w:val="002123A2"/>
    <w:rsid w:val="002130B1"/>
    <w:rsid w:val="00214036"/>
    <w:rsid w:val="0021508F"/>
    <w:rsid w:val="00215230"/>
    <w:rsid w:val="0021558B"/>
    <w:rsid w:val="002158AF"/>
    <w:rsid w:val="00220F19"/>
    <w:rsid w:val="00221A41"/>
    <w:rsid w:val="00221AD8"/>
    <w:rsid w:val="00223C96"/>
    <w:rsid w:val="00225043"/>
    <w:rsid w:val="00227114"/>
    <w:rsid w:val="00231D54"/>
    <w:rsid w:val="00234F07"/>
    <w:rsid w:val="00235E22"/>
    <w:rsid w:val="00237568"/>
    <w:rsid w:val="00237C4A"/>
    <w:rsid w:val="00240664"/>
    <w:rsid w:val="002409ED"/>
    <w:rsid w:val="00242265"/>
    <w:rsid w:val="00243221"/>
    <w:rsid w:val="00244E71"/>
    <w:rsid w:val="00245B4A"/>
    <w:rsid w:val="00256B43"/>
    <w:rsid w:val="0025720B"/>
    <w:rsid w:val="00260CD9"/>
    <w:rsid w:val="00263062"/>
    <w:rsid w:val="00263891"/>
    <w:rsid w:val="002641F3"/>
    <w:rsid w:val="00270207"/>
    <w:rsid w:val="00273EB5"/>
    <w:rsid w:val="002740F3"/>
    <w:rsid w:val="00276BE8"/>
    <w:rsid w:val="00280923"/>
    <w:rsid w:val="00281E1F"/>
    <w:rsid w:val="00282FC0"/>
    <w:rsid w:val="002839EF"/>
    <w:rsid w:val="00284779"/>
    <w:rsid w:val="0028582E"/>
    <w:rsid w:val="002878F3"/>
    <w:rsid w:val="00291489"/>
    <w:rsid w:val="00291EC0"/>
    <w:rsid w:val="00296A87"/>
    <w:rsid w:val="002A4946"/>
    <w:rsid w:val="002A5D9A"/>
    <w:rsid w:val="002A6908"/>
    <w:rsid w:val="002A7EBB"/>
    <w:rsid w:val="002B456D"/>
    <w:rsid w:val="002B527E"/>
    <w:rsid w:val="002B53E1"/>
    <w:rsid w:val="002C2B1C"/>
    <w:rsid w:val="002C5967"/>
    <w:rsid w:val="002C783B"/>
    <w:rsid w:val="002D5228"/>
    <w:rsid w:val="002D5F58"/>
    <w:rsid w:val="002F03DF"/>
    <w:rsid w:val="002F2725"/>
    <w:rsid w:val="002F2F5E"/>
    <w:rsid w:val="003002F8"/>
    <w:rsid w:val="00300752"/>
    <w:rsid w:val="00303070"/>
    <w:rsid w:val="00307236"/>
    <w:rsid w:val="00310192"/>
    <w:rsid w:val="00310565"/>
    <w:rsid w:val="00312F59"/>
    <w:rsid w:val="00313D9E"/>
    <w:rsid w:val="003217E6"/>
    <w:rsid w:val="00323420"/>
    <w:rsid w:val="00326256"/>
    <w:rsid w:val="00327E54"/>
    <w:rsid w:val="00327E5C"/>
    <w:rsid w:val="00330E02"/>
    <w:rsid w:val="00331965"/>
    <w:rsid w:val="00335C8E"/>
    <w:rsid w:val="0033766C"/>
    <w:rsid w:val="00340AAA"/>
    <w:rsid w:val="00342C6F"/>
    <w:rsid w:val="00345196"/>
    <w:rsid w:val="00345A41"/>
    <w:rsid w:val="0035026A"/>
    <w:rsid w:val="00352654"/>
    <w:rsid w:val="003563DA"/>
    <w:rsid w:val="003570BB"/>
    <w:rsid w:val="00357F58"/>
    <w:rsid w:val="00361C5B"/>
    <w:rsid w:val="0036263A"/>
    <w:rsid w:val="00363FCB"/>
    <w:rsid w:val="00365F25"/>
    <w:rsid w:val="00367E04"/>
    <w:rsid w:val="00374727"/>
    <w:rsid w:val="003806A4"/>
    <w:rsid w:val="00381A0A"/>
    <w:rsid w:val="00382235"/>
    <w:rsid w:val="00383316"/>
    <w:rsid w:val="00383423"/>
    <w:rsid w:val="003875FC"/>
    <w:rsid w:val="003907C4"/>
    <w:rsid w:val="00393715"/>
    <w:rsid w:val="003A2411"/>
    <w:rsid w:val="003A2CF4"/>
    <w:rsid w:val="003A5439"/>
    <w:rsid w:val="003A599E"/>
    <w:rsid w:val="003B1119"/>
    <w:rsid w:val="003B14A9"/>
    <w:rsid w:val="003B16A7"/>
    <w:rsid w:val="003B3BEC"/>
    <w:rsid w:val="003B462E"/>
    <w:rsid w:val="003B4904"/>
    <w:rsid w:val="003B7DBF"/>
    <w:rsid w:val="003C101A"/>
    <w:rsid w:val="003C1836"/>
    <w:rsid w:val="003C3DDF"/>
    <w:rsid w:val="003C57D5"/>
    <w:rsid w:val="003C77BD"/>
    <w:rsid w:val="003D2220"/>
    <w:rsid w:val="003D2827"/>
    <w:rsid w:val="003D5D97"/>
    <w:rsid w:val="003D6E9E"/>
    <w:rsid w:val="003D7CF3"/>
    <w:rsid w:val="003D7D83"/>
    <w:rsid w:val="003E11DC"/>
    <w:rsid w:val="003E140D"/>
    <w:rsid w:val="003E6709"/>
    <w:rsid w:val="003E6E7B"/>
    <w:rsid w:val="003E7D8C"/>
    <w:rsid w:val="003F064D"/>
    <w:rsid w:val="0040004C"/>
    <w:rsid w:val="00400956"/>
    <w:rsid w:val="00402C6E"/>
    <w:rsid w:val="00402EE4"/>
    <w:rsid w:val="004048F0"/>
    <w:rsid w:val="00404D94"/>
    <w:rsid w:val="00405264"/>
    <w:rsid w:val="00405D59"/>
    <w:rsid w:val="004065AC"/>
    <w:rsid w:val="00410E56"/>
    <w:rsid w:val="00412C06"/>
    <w:rsid w:val="004141D0"/>
    <w:rsid w:val="00416106"/>
    <w:rsid w:val="00416F29"/>
    <w:rsid w:val="00417782"/>
    <w:rsid w:val="00420706"/>
    <w:rsid w:val="00420761"/>
    <w:rsid w:val="00421261"/>
    <w:rsid w:val="00421DAB"/>
    <w:rsid w:val="00423F4D"/>
    <w:rsid w:val="00424ADC"/>
    <w:rsid w:val="0043051C"/>
    <w:rsid w:val="0043260F"/>
    <w:rsid w:val="00432D02"/>
    <w:rsid w:val="00432DC6"/>
    <w:rsid w:val="00434864"/>
    <w:rsid w:val="00437971"/>
    <w:rsid w:val="00440009"/>
    <w:rsid w:val="00442AA4"/>
    <w:rsid w:val="00442C10"/>
    <w:rsid w:val="004437CE"/>
    <w:rsid w:val="004446FB"/>
    <w:rsid w:val="00445BD5"/>
    <w:rsid w:val="00446960"/>
    <w:rsid w:val="00451EF0"/>
    <w:rsid w:val="0045642B"/>
    <w:rsid w:val="00460BBD"/>
    <w:rsid w:val="00465E8C"/>
    <w:rsid w:val="004665FC"/>
    <w:rsid w:val="00466726"/>
    <w:rsid w:val="00471F23"/>
    <w:rsid w:val="0047458D"/>
    <w:rsid w:val="00474BC4"/>
    <w:rsid w:val="00481914"/>
    <w:rsid w:val="00481FDA"/>
    <w:rsid w:val="00482218"/>
    <w:rsid w:val="00482B91"/>
    <w:rsid w:val="004860E9"/>
    <w:rsid w:val="004864AA"/>
    <w:rsid w:val="00490CEA"/>
    <w:rsid w:val="00490EB2"/>
    <w:rsid w:val="00491025"/>
    <w:rsid w:val="004945EA"/>
    <w:rsid w:val="004A3296"/>
    <w:rsid w:val="004A4A26"/>
    <w:rsid w:val="004A5D3F"/>
    <w:rsid w:val="004B2DA2"/>
    <w:rsid w:val="004B4CEA"/>
    <w:rsid w:val="004B69CB"/>
    <w:rsid w:val="004B743B"/>
    <w:rsid w:val="004C00DC"/>
    <w:rsid w:val="004C29F2"/>
    <w:rsid w:val="004C3DF2"/>
    <w:rsid w:val="004C5E6D"/>
    <w:rsid w:val="004C6CBC"/>
    <w:rsid w:val="004D052E"/>
    <w:rsid w:val="004D0EE3"/>
    <w:rsid w:val="004D4370"/>
    <w:rsid w:val="004D4BD6"/>
    <w:rsid w:val="004D6C5C"/>
    <w:rsid w:val="004E0510"/>
    <w:rsid w:val="004E12AB"/>
    <w:rsid w:val="004E13FA"/>
    <w:rsid w:val="004E5425"/>
    <w:rsid w:val="004E7787"/>
    <w:rsid w:val="004F0086"/>
    <w:rsid w:val="004F15F5"/>
    <w:rsid w:val="004F43A3"/>
    <w:rsid w:val="004F554B"/>
    <w:rsid w:val="004F6596"/>
    <w:rsid w:val="004F6FC3"/>
    <w:rsid w:val="004F7636"/>
    <w:rsid w:val="0050482F"/>
    <w:rsid w:val="0051146A"/>
    <w:rsid w:val="005125A8"/>
    <w:rsid w:val="00512DC4"/>
    <w:rsid w:val="00513652"/>
    <w:rsid w:val="00517343"/>
    <w:rsid w:val="00517C7A"/>
    <w:rsid w:val="00523284"/>
    <w:rsid w:val="00523A5A"/>
    <w:rsid w:val="00532B55"/>
    <w:rsid w:val="00532FFF"/>
    <w:rsid w:val="0053654B"/>
    <w:rsid w:val="00537814"/>
    <w:rsid w:val="00540616"/>
    <w:rsid w:val="00542CA5"/>
    <w:rsid w:val="005448C6"/>
    <w:rsid w:val="00544A2A"/>
    <w:rsid w:val="005453AE"/>
    <w:rsid w:val="005455D9"/>
    <w:rsid w:val="00546746"/>
    <w:rsid w:val="00546DCC"/>
    <w:rsid w:val="0055709B"/>
    <w:rsid w:val="005636D7"/>
    <w:rsid w:val="0057062D"/>
    <w:rsid w:val="00570FB1"/>
    <w:rsid w:val="00571CCE"/>
    <w:rsid w:val="00572DC8"/>
    <w:rsid w:val="0057498F"/>
    <w:rsid w:val="00574C2E"/>
    <w:rsid w:val="00574E8D"/>
    <w:rsid w:val="00575AFE"/>
    <w:rsid w:val="00576D7F"/>
    <w:rsid w:val="00577853"/>
    <w:rsid w:val="00577F90"/>
    <w:rsid w:val="00581339"/>
    <w:rsid w:val="00584078"/>
    <w:rsid w:val="00586DD2"/>
    <w:rsid w:val="005907F1"/>
    <w:rsid w:val="00590BBE"/>
    <w:rsid w:val="00590D7B"/>
    <w:rsid w:val="00594B0F"/>
    <w:rsid w:val="00594B57"/>
    <w:rsid w:val="005A14B5"/>
    <w:rsid w:val="005A5FA0"/>
    <w:rsid w:val="005A7A72"/>
    <w:rsid w:val="005B3274"/>
    <w:rsid w:val="005B4493"/>
    <w:rsid w:val="005B640C"/>
    <w:rsid w:val="005B7329"/>
    <w:rsid w:val="005B78C1"/>
    <w:rsid w:val="005C2155"/>
    <w:rsid w:val="005C3608"/>
    <w:rsid w:val="005C5078"/>
    <w:rsid w:val="005C5C20"/>
    <w:rsid w:val="005D1534"/>
    <w:rsid w:val="005D2793"/>
    <w:rsid w:val="005D4237"/>
    <w:rsid w:val="005D5DB0"/>
    <w:rsid w:val="005E109D"/>
    <w:rsid w:val="005E62D5"/>
    <w:rsid w:val="005F03E0"/>
    <w:rsid w:val="005F6594"/>
    <w:rsid w:val="005F7725"/>
    <w:rsid w:val="00601D24"/>
    <w:rsid w:val="00603639"/>
    <w:rsid w:val="0060502F"/>
    <w:rsid w:val="00605481"/>
    <w:rsid w:val="00606DE0"/>
    <w:rsid w:val="0061650D"/>
    <w:rsid w:val="0062136C"/>
    <w:rsid w:val="00622134"/>
    <w:rsid w:val="0062554C"/>
    <w:rsid w:val="00625AB6"/>
    <w:rsid w:val="006270CF"/>
    <w:rsid w:val="00633409"/>
    <w:rsid w:val="00634708"/>
    <w:rsid w:val="00642856"/>
    <w:rsid w:val="0064359B"/>
    <w:rsid w:val="00643E70"/>
    <w:rsid w:val="00644450"/>
    <w:rsid w:val="0064491A"/>
    <w:rsid w:val="006456BE"/>
    <w:rsid w:val="00645B07"/>
    <w:rsid w:val="006471C6"/>
    <w:rsid w:val="00650E52"/>
    <w:rsid w:val="006515DA"/>
    <w:rsid w:val="006518FE"/>
    <w:rsid w:val="006539EF"/>
    <w:rsid w:val="0066195C"/>
    <w:rsid w:val="00663148"/>
    <w:rsid w:val="00663655"/>
    <w:rsid w:val="00665F16"/>
    <w:rsid w:val="00671E06"/>
    <w:rsid w:val="00672C88"/>
    <w:rsid w:val="006779B1"/>
    <w:rsid w:val="00680DD9"/>
    <w:rsid w:val="006825AA"/>
    <w:rsid w:val="00682929"/>
    <w:rsid w:val="00686B71"/>
    <w:rsid w:val="00687394"/>
    <w:rsid w:val="00690237"/>
    <w:rsid w:val="00691F68"/>
    <w:rsid w:val="00692EFA"/>
    <w:rsid w:val="0069313F"/>
    <w:rsid w:val="00693324"/>
    <w:rsid w:val="00695514"/>
    <w:rsid w:val="006A1810"/>
    <w:rsid w:val="006A3305"/>
    <w:rsid w:val="006A45E2"/>
    <w:rsid w:val="006A57D6"/>
    <w:rsid w:val="006A6127"/>
    <w:rsid w:val="006A7AAC"/>
    <w:rsid w:val="006B094C"/>
    <w:rsid w:val="006B6801"/>
    <w:rsid w:val="006B6A45"/>
    <w:rsid w:val="006B75C5"/>
    <w:rsid w:val="006C0721"/>
    <w:rsid w:val="006C574B"/>
    <w:rsid w:val="006D087E"/>
    <w:rsid w:val="006D0B2B"/>
    <w:rsid w:val="006D3686"/>
    <w:rsid w:val="006D3754"/>
    <w:rsid w:val="006D3812"/>
    <w:rsid w:val="006D3E17"/>
    <w:rsid w:val="006D7568"/>
    <w:rsid w:val="006D781C"/>
    <w:rsid w:val="006E3AC8"/>
    <w:rsid w:val="006E3CB0"/>
    <w:rsid w:val="006E4272"/>
    <w:rsid w:val="006E42FD"/>
    <w:rsid w:val="006E5957"/>
    <w:rsid w:val="006E72E1"/>
    <w:rsid w:val="006F0B55"/>
    <w:rsid w:val="006F34BF"/>
    <w:rsid w:val="006F4C75"/>
    <w:rsid w:val="007012C6"/>
    <w:rsid w:val="007017BD"/>
    <w:rsid w:val="00701D6A"/>
    <w:rsid w:val="007046EF"/>
    <w:rsid w:val="00704D7D"/>
    <w:rsid w:val="0070743E"/>
    <w:rsid w:val="00710403"/>
    <w:rsid w:val="007116EE"/>
    <w:rsid w:val="007131DF"/>
    <w:rsid w:val="00713456"/>
    <w:rsid w:val="00715228"/>
    <w:rsid w:val="00716697"/>
    <w:rsid w:val="007174EF"/>
    <w:rsid w:val="00721615"/>
    <w:rsid w:val="0072340E"/>
    <w:rsid w:val="00724413"/>
    <w:rsid w:val="00725202"/>
    <w:rsid w:val="007272DF"/>
    <w:rsid w:val="00734DE0"/>
    <w:rsid w:val="00740D7E"/>
    <w:rsid w:val="007428A5"/>
    <w:rsid w:val="00742E81"/>
    <w:rsid w:val="00745A5A"/>
    <w:rsid w:val="00750FF5"/>
    <w:rsid w:val="00751893"/>
    <w:rsid w:val="0075336A"/>
    <w:rsid w:val="007556A5"/>
    <w:rsid w:val="00756088"/>
    <w:rsid w:val="00756202"/>
    <w:rsid w:val="007665D1"/>
    <w:rsid w:val="00766EAF"/>
    <w:rsid w:val="00767D5D"/>
    <w:rsid w:val="00771A51"/>
    <w:rsid w:val="007747E7"/>
    <w:rsid w:val="00774DF8"/>
    <w:rsid w:val="00776652"/>
    <w:rsid w:val="00776A79"/>
    <w:rsid w:val="00784122"/>
    <w:rsid w:val="007847D4"/>
    <w:rsid w:val="00790115"/>
    <w:rsid w:val="0079542E"/>
    <w:rsid w:val="007956DD"/>
    <w:rsid w:val="007A05E8"/>
    <w:rsid w:val="007A1DF9"/>
    <w:rsid w:val="007A37B4"/>
    <w:rsid w:val="007A443F"/>
    <w:rsid w:val="007B28EE"/>
    <w:rsid w:val="007B33A2"/>
    <w:rsid w:val="007B6678"/>
    <w:rsid w:val="007C062A"/>
    <w:rsid w:val="007C2431"/>
    <w:rsid w:val="007D0DDC"/>
    <w:rsid w:val="007D322F"/>
    <w:rsid w:val="007D396E"/>
    <w:rsid w:val="007D5A1F"/>
    <w:rsid w:val="007D6471"/>
    <w:rsid w:val="007D6723"/>
    <w:rsid w:val="007D6DF2"/>
    <w:rsid w:val="007D7FAA"/>
    <w:rsid w:val="007E0437"/>
    <w:rsid w:val="007E1687"/>
    <w:rsid w:val="007E4539"/>
    <w:rsid w:val="007E5012"/>
    <w:rsid w:val="007E7F07"/>
    <w:rsid w:val="007F2D39"/>
    <w:rsid w:val="007F3E98"/>
    <w:rsid w:val="007F5F20"/>
    <w:rsid w:val="007F719A"/>
    <w:rsid w:val="007F7997"/>
    <w:rsid w:val="007F7FFE"/>
    <w:rsid w:val="00804589"/>
    <w:rsid w:val="008046E0"/>
    <w:rsid w:val="00815708"/>
    <w:rsid w:val="0082084B"/>
    <w:rsid w:val="008224AD"/>
    <w:rsid w:val="00823396"/>
    <w:rsid w:val="00823D5D"/>
    <w:rsid w:val="00824F2B"/>
    <w:rsid w:val="008259C4"/>
    <w:rsid w:val="00830A17"/>
    <w:rsid w:val="00832076"/>
    <w:rsid w:val="00836E5E"/>
    <w:rsid w:val="00836EDF"/>
    <w:rsid w:val="008370A4"/>
    <w:rsid w:val="008400C3"/>
    <w:rsid w:val="00840880"/>
    <w:rsid w:val="008426D0"/>
    <w:rsid w:val="00843B7E"/>
    <w:rsid w:val="00844A5F"/>
    <w:rsid w:val="00845677"/>
    <w:rsid w:val="00846912"/>
    <w:rsid w:val="008518FF"/>
    <w:rsid w:val="00852F3E"/>
    <w:rsid w:val="008555C6"/>
    <w:rsid w:val="00855825"/>
    <w:rsid w:val="00863615"/>
    <w:rsid w:val="00864D44"/>
    <w:rsid w:val="00867F3C"/>
    <w:rsid w:val="00872962"/>
    <w:rsid w:val="00876874"/>
    <w:rsid w:val="00876BB8"/>
    <w:rsid w:val="00877FAF"/>
    <w:rsid w:val="00880BD4"/>
    <w:rsid w:val="00881861"/>
    <w:rsid w:val="0088224D"/>
    <w:rsid w:val="008850AD"/>
    <w:rsid w:val="008865B2"/>
    <w:rsid w:val="00893255"/>
    <w:rsid w:val="00894ACC"/>
    <w:rsid w:val="008965CE"/>
    <w:rsid w:val="00897063"/>
    <w:rsid w:val="00897208"/>
    <w:rsid w:val="00897883"/>
    <w:rsid w:val="008A1D5E"/>
    <w:rsid w:val="008A59A0"/>
    <w:rsid w:val="008A6515"/>
    <w:rsid w:val="008A7AC1"/>
    <w:rsid w:val="008B08CF"/>
    <w:rsid w:val="008B0DA7"/>
    <w:rsid w:val="008B4C5D"/>
    <w:rsid w:val="008B7BF2"/>
    <w:rsid w:val="008C020C"/>
    <w:rsid w:val="008C0D20"/>
    <w:rsid w:val="008C19A6"/>
    <w:rsid w:val="008C1C0D"/>
    <w:rsid w:val="008C396B"/>
    <w:rsid w:val="008C4825"/>
    <w:rsid w:val="008C69A4"/>
    <w:rsid w:val="008C7554"/>
    <w:rsid w:val="008D1D3C"/>
    <w:rsid w:val="008D1D62"/>
    <w:rsid w:val="008E32D0"/>
    <w:rsid w:val="008E4EF0"/>
    <w:rsid w:val="008E6708"/>
    <w:rsid w:val="008F05B7"/>
    <w:rsid w:val="008F0B4B"/>
    <w:rsid w:val="008F1A87"/>
    <w:rsid w:val="008F1EA7"/>
    <w:rsid w:val="008F3C4C"/>
    <w:rsid w:val="0090159F"/>
    <w:rsid w:val="00902B39"/>
    <w:rsid w:val="0090397B"/>
    <w:rsid w:val="00903E1D"/>
    <w:rsid w:val="009050C0"/>
    <w:rsid w:val="00907246"/>
    <w:rsid w:val="00910466"/>
    <w:rsid w:val="00910DA8"/>
    <w:rsid w:val="0091303F"/>
    <w:rsid w:val="009159B1"/>
    <w:rsid w:val="00915C83"/>
    <w:rsid w:val="00920136"/>
    <w:rsid w:val="009216E3"/>
    <w:rsid w:val="009234E9"/>
    <w:rsid w:val="009266E7"/>
    <w:rsid w:val="00927A02"/>
    <w:rsid w:val="00927DCF"/>
    <w:rsid w:val="00927FA4"/>
    <w:rsid w:val="0093213D"/>
    <w:rsid w:val="00933EA2"/>
    <w:rsid w:val="009365BF"/>
    <w:rsid w:val="00936A0B"/>
    <w:rsid w:val="0094051B"/>
    <w:rsid w:val="009424AE"/>
    <w:rsid w:val="009449A9"/>
    <w:rsid w:val="00945CCD"/>
    <w:rsid w:val="0096260D"/>
    <w:rsid w:val="00964171"/>
    <w:rsid w:val="00964D27"/>
    <w:rsid w:val="0097061B"/>
    <w:rsid w:val="00972B55"/>
    <w:rsid w:val="00974BD2"/>
    <w:rsid w:val="00975D9C"/>
    <w:rsid w:val="00976303"/>
    <w:rsid w:val="00977261"/>
    <w:rsid w:val="00980507"/>
    <w:rsid w:val="0098124D"/>
    <w:rsid w:val="009826DE"/>
    <w:rsid w:val="00982E01"/>
    <w:rsid w:val="0098398F"/>
    <w:rsid w:val="009847FB"/>
    <w:rsid w:val="00986CB9"/>
    <w:rsid w:val="00986E27"/>
    <w:rsid w:val="00987114"/>
    <w:rsid w:val="00987587"/>
    <w:rsid w:val="009903B0"/>
    <w:rsid w:val="009914CC"/>
    <w:rsid w:val="00997FE8"/>
    <w:rsid w:val="009A1493"/>
    <w:rsid w:val="009B51AB"/>
    <w:rsid w:val="009B70B9"/>
    <w:rsid w:val="009B7D2E"/>
    <w:rsid w:val="009C0ED0"/>
    <w:rsid w:val="009C7CBF"/>
    <w:rsid w:val="009D01C3"/>
    <w:rsid w:val="009D1B16"/>
    <w:rsid w:val="009D1EE3"/>
    <w:rsid w:val="009D52D1"/>
    <w:rsid w:val="009D5883"/>
    <w:rsid w:val="009D79D1"/>
    <w:rsid w:val="009D7EF6"/>
    <w:rsid w:val="009E31AF"/>
    <w:rsid w:val="009E3D26"/>
    <w:rsid w:val="009E4BFC"/>
    <w:rsid w:val="009E5A4D"/>
    <w:rsid w:val="009F05A9"/>
    <w:rsid w:val="009F1CA0"/>
    <w:rsid w:val="009F3E08"/>
    <w:rsid w:val="009F3F0A"/>
    <w:rsid w:val="009F5406"/>
    <w:rsid w:val="009F6455"/>
    <w:rsid w:val="009F7CA6"/>
    <w:rsid w:val="00A00650"/>
    <w:rsid w:val="00A011DB"/>
    <w:rsid w:val="00A04E1B"/>
    <w:rsid w:val="00A05DA1"/>
    <w:rsid w:val="00A06CA1"/>
    <w:rsid w:val="00A07120"/>
    <w:rsid w:val="00A111E3"/>
    <w:rsid w:val="00A11C98"/>
    <w:rsid w:val="00A12CC1"/>
    <w:rsid w:val="00A15B89"/>
    <w:rsid w:val="00A20563"/>
    <w:rsid w:val="00A230CC"/>
    <w:rsid w:val="00A23761"/>
    <w:rsid w:val="00A23F8E"/>
    <w:rsid w:val="00A24480"/>
    <w:rsid w:val="00A2557D"/>
    <w:rsid w:val="00A267B1"/>
    <w:rsid w:val="00A27F8C"/>
    <w:rsid w:val="00A30D44"/>
    <w:rsid w:val="00A310C1"/>
    <w:rsid w:val="00A3414E"/>
    <w:rsid w:val="00A35232"/>
    <w:rsid w:val="00A43446"/>
    <w:rsid w:val="00A43867"/>
    <w:rsid w:val="00A43BCF"/>
    <w:rsid w:val="00A44116"/>
    <w:rsid w:val="00A4430D"/>
    <w:rsid w:val="00A473F1"/>
    <w:rsid w:val="00A50F9E"/>
    <w:rsid w:val="00A51980"/>
    <w:rsid w:val="00A555A4"/>
    <w:rsid w:val="00A55633"/>
    <w:rsid w:val="00A56649"/>
    <w:rsid w:val="00A5686E"/>
    <w:rsid w:val="00A57579"/>
    <w:rsid w:val="00A603BF"/>
    <w:rsid w:val="00A60455"/>
    <w:rsid w:val="00A6159E"/>
    <w:rsid w:val="00A61623"/>
    <w:rsid w:val="00A617AC"/>
    <w:rsid w:val="00A61847"/>
    <w:rsid w:val="00A6236D"/>
    <w:rsid w:val="00A65A6C"/>
    <w:rsid w:val="00A67B42"/>
    <w:rsid w:val="00A71837"/>
    <w:rsid w:val="00A757A4"/>
    <w:rsid w:val="00A76963"/>
    <w:rsid w:val="00A769DB"/>
    <w:rsid w:val="00A81810"/>
    <w:rsid w:val="00A8226E"/>
    <w:rsid w:val="00A84A81"/>
    <w:rsid w:val="00A84F58"/>
    <w:rsid w:val="00A85134"/>
    <w:rsid w:val="00A9089C"/>
    <w:rsid w:val="00A91C71"/>
    <w:rsid w:val="00A930F1"/>
    <w:rsid w:val="00AA0A18"/>
    <w:rsid w:val="00AA1B62"/>
    <w:rsid w:val="00AA3353"/>
    <w:rsid w:val="00AA42B5"/>
    <w:rsid w:val="00AA4955"/>
    <w:rsid w:val="00AA64C9"/>
    <w:rsid w:val="00AA6D74"/>
    <w:rsid w:val="00AB1CEB"/>
    <w:rsid w:val="00AB29E0"/>
    <w:rsid w:val="00AB702D"/>
    <w:rsid w:val="00AC2EE5"/>
    <w:rsid w:val="00AC5617"/>
    <w:rsid w:val="00AC6ACB"/>
    <w:rsid w:val="00AC6D9B"/>
    <w:rsid w:val="00AC7F56"/>
    <w:rsid w:val="00AD21C6"/>
    <w:rsid w:val="00AD4768"/>
    <w:rsid w:val="00AD51A9"/>
    <w:rsid w:val="00AE10FA"/>
    <w:rsid w:val="00AE1287"/>
    <w:rsid w:val="00AE33AF"/>
    <w:rsid w:val="00AE48DB"/>
    <w:rsid w:val="00AE7DD4"/>
    <w:rsid w:val="00AF07F7"/>
    <w:rsid w:val="00AF0924"/>
    <w:rsid w:val="00AF626E"/>
    <w:rsid w:val="00AF63B6"/>
    <w:rsid w:val="00AF7AA8"/>
    <w:rsid w:val="00AF7BA4"/>
    <w:rsid w:val="00AF7E31"/>
    <w:rsid w:val="00B01828"/>
    <w:rsid w:val="00B04C33"/>
    <w:rsid w:val="00B04F23"/>
    <w:rsid w:val="00B1019B"/>
    <w:rsid w:val="00B11FD6"/>
    <w:rsid w:val="00B1303E"/>
    <w:rsid w:val="00B136E6"/>
    <w:rsid w:val="00B17B51"/>
    <w:rsid w:val="00B20729"/>
    <w:rsid w:val="00B22C7E"/>
    <w:rsid w:val="00B25A3D"/>
    <w:rsid w:val="00B269CC"/>
    <w:rsid w:val="00B30019"/>
    <w:rsid w:val="00B30576"/>
    <w:rsid w:val="00B3076B"/>
    <w:rsid w:val="00B322C6"/>
    <w:rsid w:val="00B32508"/>
    <w:rsid w:val="00B35A87"/>
    <w:rsid w:val="00B37EFA"/>
    <w:rsid w:val="00B37F43"/>
    <w:rsid w:val="00B40440"/>
    <w:rsid w:val="00B40F8D"/>
    <w:rsid w:val="00B448C5"/>
    <w:rsid w:val="00B44A9B"/>
    <w:rsid w:val="00B4552E"/>
    <w:rsid w:val="00B47945"/>
    <w:rsid w:val="00B47E55"/>
    <w:rsid w:val="00B52F7D"/>
    <w:rsid w:val="00B56247"/>
    <w:rsid w:val="00B64522"/>
    <w:rsid w:val="00B64604"/>
    <w:rsid w:val="00B6598D"/>
    <w:rsid w:val="00B71F39"/>
    <w:rsid w:val="00B72E4E"/>
    <w:rsid w:val="00B75D7C"/>
    <w:rsid w:val="00B80221"/>
    <w:rsid w:val="00B81694"/>
    <w:rsid w:val="00B82AC3"/>
    <w:rsid w:val="00B830E2"/>
    <w:rsid w:val="00B841BB"/>
    <w:rsid w:val="00B847EF"/>
    <w:rsid w:val="00B85400"/>
    <w:rsid w:val="00B8656D"/>
    <w:rsid w:val="00B86741"/>
    <w:rsid w:val="00B872D3"/>
    <w:rsid w:val="00B90480"/>
    <w:rsid w:val="00B9415C"/>
    <w:rsid w:val="00B94F79"/>
    <w:rsid w:val="00BA114E"/>
    <w:rsid w:val="00BA27ED"/>
    <w:rsid w:val="00BB5403"/>
    <w:rsid w:val="00BB76D4"/>
    <w:rsid w:val="00BC00BE"/>
    <w:rsid w:val="00BC0356"/>
    <w:rsid w:val="00BC0376"/>
    <w:rsid w:val="00BC0F59"/>
    <w:rsid w:val="00BC23AC"/>
    <w:rsid w:val="00BC447F"/>
    <w:rsid w:val="00BC7271"/>
    <w:rsid w:val="00BC7A6B"/>
    <w:rsid w:val="00BD0B2F"/>
    <w:rsid w:val="00BD1F52"/>
    <w:rsid w:val="00BD545D"/>
    <w:rsid w:val="00BD57DE"/>
    <w:rsid w:val="00BE080B"/>
    <w:rsid w:val="00BE1B64"/>
    <w:rsid w:val="00BE417C"/>
    <w:rsid w:val="00BE76AF"/>
    <w:rsid w:val="00BF3FAE"/>
    <w:rsid w:val="00BF52C7"/>
    <w:rsid w:val="00BF5B40"/>
    <w:rsid w:val="00BF5CF3"/>
    <w:rsid w:val="00BF7F69"/>
    <w:rsid w:val="00C0334A"/>
    <w:rsid w:val="00C0495A"/>
    <w:rsid w:val="00C0712E"/>
    <w:rsid w:val="00C078F5"/>
    <w:rsid w:val="00C11653"/>
    <w:rsid w:val="00C128E1"/>
    <w:rsid w:val="00C130F0"/>
    <w:rsid w:val="00C15299"/>
    <w:rsid w:val="00C16DD5"/>
    <w:rsid w:val="00C2203D"/>
    <w:rsid w:val="00C266E0"/>
    <w:rsid w:val="00C268F1"/>
    <w:rsid w:val="00C2745A"/>
    <w:rsid w:val="00C3098A"/>
    <w:rsid w:val="00C30FAA"/>
    <w:rsid w:val="00C313A9"/>
    <w:rsid w:val="00C32513"/>
    <w:rsid w:val="00C3359F"/>
    <w:rsid w:val="00C344EC"/>
    <w:rsid w:val="00C40F64"/>
    <w:rsid w:val="00C455DC"/>
    <w:rsid w:val="00C4769C"/>
    <w:rsid w:val="00C50C3E"/>
    <w:rsid w:val="00C53476"/>
    <w:rsid w:val="00C542EA"/>
    <w:rsid w:val="00C54D6C"/>
    <w:rsid w:val="00C56150"/>
    <w:rsid w:val="00C56DAD"/>
    <w:rsid w:val="00C6349C"/>
    <w:rsid w:val="00C652EA"/>
    <w:rsid w:val="00C6628C"/>
    <w:rsid w:val="00C737A2"/>
    <w:rsid w:val="00C73AA9"/>
    <w:rsid w:val="00C74E8A"/>
    <w:rsid w:val="00C75B8F"/>
    <w:rsid w:val="00C764A0"/>
    <w:rsid w:val="00C80B56"/>
    <w:rsid w:val="00C81402"/>
    <w:rsid w:val="00C91233"/>
    <w:rsid w:val="00CA1BE3"/>
    <w:rsid w:val="00CA1DBB"/>
    <w:rsid w:val="00CA2B07"/>
    <w:rsid w:val="00CA4A02"/>
    <w:rsid w:val="00CA60F5"/>
    <w:rsid w:val="00CA6987"/>
    <w:rsid w:val="00CA6BA7"/>
    <w:rsid w:val="00CB2F28"/>
    <w:rsid w:val="00CB4C40"/>
    <w:rsid w:val="00CB5521"/>
    <w:rsid w:val="00CB5D22"/>
    <w:rsid w:val="00CC08FE"/>
    <w:rsid w:val="00CC3F9F"/>
    <w:rsid w:val="00CC5CD4"/>
    <w:rsid w:val="00CC5FF0"/>
    <w:rsid w:val="00CC6D09"/>
    <w:rsid w:val="00CC705B"/>
    <w:rsid w:val="00CD328C"/>
    <w:rsid w:val="00CD3360"/>
    <w:rsid w:val="00CD3AB1"/>
    <w:rsid w:val="00CE2A34"/>
    <w:rsid w:val="00CE4B22"/>
    <w:rsid w:val="00CE5873"/>
    <w:rsid w:val="00CE7769"/>
    <w:rsid w:val="00CF2719"/>
    <w:rsid w:val="00CF2CCD"/>
    <w:rsid w:val="00CF3384"/>
    <w:rsid w:val="00CF3617"/>
    <w:rsid w:val="00CF387F"/>
    <w:rsid w:val="00CF45AB"/>
    <w:rsid w:val="00CF4B5D"/>
    <w:rsid w:val="00CF6997"/>
    <w:rsid w:val="00CF711A"/>
    <w:rsid w:val="00D022DA"/>
    <w:rsid w:val="00D02CEE"/>
    <w:rsid w:val="00D033E1"/>
    <w:rsid w:val="00D05CFA"/>
    <w:rsid w:val="00D0759A"/>
    <w:rsid w:val="00D103D6"/>
    <w:rsid w:val="00D10735"/>
    <w:rsid w:val="00D1090A"/>
    <w:rsid w:val="00D113B9"/>
    <w:rsid w:val="00D1187A"/>
    <w:rsid w:val="00D13D7E"/>
    <w:rsid w:val="00D16CEA"/>
    <w:rsid w:val="00D206BF"/>
    <w:rsid w:val="00D21ED9"/>
    <w:rsid w:val="00D227FA"/>
    <w:rsid w:val="00D2426C"/>
    <w:rsid w:val="00D2486E"/>
    <w:rsid w:val="00D32B05"/>
    <w:rsid w:val="00D32BB0"/>
    <w:rsid w:val="00D345EE"/>
    <w:rsid w:val="00D378EF"/>
    <w:rsid w:val="00D40DD0"/>
    <w:rsid w:val="00D414D2"/>
    <w:rsid w:val="00D432C4"/>
    <w:rsid w:val="00D440FB"/>
    <w:rsid w:val="00D4484C"/>
    <w:rsid w:val="00D4563C"/>
    <w:rsid w:val="00D46665"/>
    <w:rsid w:val="00D501AD"/>
    <w:rsid w:val="00D5278A"/>
    <w:rsid w:val="00D5385D"/>
    <w:rsid w:val="00D54DD1"/>
    <w:rsid w:val="00D56274"/>
    <w:rsid w:val="00D568CB"/>
    <w:rsid w:val="00D56FE5"/>
    <w:rsid w:val="00D57A69"/>
    <w:rsid w:val="00D63AEF"/>
    <w:rsid w:val="00D65978"/>
    <w:rsid w:val="00D664CD"/>
    <w:rsid w:val="00D67770"/>
    <w:rsid w:val="00D73E29"/>
    <w:rsid w:val="00D74CD1"/>
    <w:rsid w:val="00D74EB2"/>
    <w:rsid w:val="00D75D4B"/>
    <w:rsid w:val="00D771A7"/>
    <w:rsid w:val="00D87D3A"/>
    <w:rsid w:val="00D9223A"/>
    <w:rsid w:val="00D92624"/>
    <w:rsid w:val="00D941F6"/>
    <w:rsid w:val="00D94CAF"/>
    <w:rsid w:val="00D95CAD"/>
    <w:rsid w:val="00D96E8A"/>
    <w:rsid w:val="00DA17B6"/>
    <w:rsid w:val="00DA2C7F"/>
    <w:rsid w:val="00DA2EDF"/>
    <w:rsid w:val="00DA49B2"/>
    <w:rsid w:val="00DB0A5D"/>
    <w:rsid w:val="00DB4D08"/>
    <w:rsid w:val="00DB756C"/>
    <w:rsid w:val="00DB7913"/>
    <w:rsid w:val="00DC292C"/>
    <w:rsid w:val="00DC57D6"/>
    <w:rsid w:val="00DD1E89"/>
    <w:rsid w:val="00DD2D6F"/>
    <w:rsid w:val="00DD5B58"/>
    <w:rsid w:val="00DD61D9"/>
    <w:rsid w:val="00DD7AA1"/>
    <w:rsid w:val="00DE0725"/>
    <w:rsid w:val="00DE0999"/>
    <w:rsid w:val="00DE2B8D"/>
    <w:rsid w:val="00DE639B"/>
    <w:rsid w:val="00DE663B"/>
    <w:rsid w:val="00DF1FCF"/>
    <w:rsid w:val="00DF2BE0"/>
    <w:rsid w:val="00DF31BD"/>
    <w:rsid w:val="00DF426B"/>
    <w:rsid w:val="00DF4A11"/>
    <w:rsid w:val="00E0209F"/>
    <w:rsid w:val="00E0304E"/>
    <w:rsid w:val="00E0348C"/>
    <w:rsid w:val="00E0579B"/>
    <w:rsid w:val="00E1170A"/>
    <w:rsid w:val="00E11877"/>
    <w:rsid w:val="00E13710"/>
    <w:rsid w:val="00E14419"/>
    <w:rsid w:val="00E16307"/>
    <w:rsid w:val="00E16BA9"/>
    <w:rsid w:val="00E17E99"/>
    <w:rsid w:val="00E17EAF"/>
    <w:rsid w:val="00E24960"/>
    <w:rsid w:val="00E26654"/>
    <w:rsid w:val="00E274A7"/>
    <w:rsid w:val="00E27734"/>
    <w:rsid w:val="00E35C49"/>
    <w:rsid w:val="00E3616D"/>
    <w:rsid w:val="00E379EB"/>
    <w:rsid w:val="00E42AE6"/>
    <w:rsid w:val="00E4628D"/>
    <w:rsid w:val="00E465EF"/>
    <w:rsid w:val="00E474E4"/>
    <w:rsid w:val="00E540DC"/>
    <w:rsid w:val="00E54358"/>
    <w:rsid w:val="00E6283F"/>
    <w:rsid w:val="00E63B54"/>
    <w:rsid w:val="00E659D7"/>
    <w:rsid w:val="00E6787C"/>
    <w:rsid w:val="00E70A2C"/>
    <w:rsid w:val="00E71A96"/>
    <w:rsid w:val="00E72388"/>
    <w:rsid w:val="00E738B6"/>
    <w:rsid w:val="00E74A5C"/>
    <w:rsid w:val="00E76EC5"/>
    <w:rsid w:val="00E80384"/>
    <w:rsid w:val="00E8265C"/>
    <w:rsid w:val="00E82B27"/>
    <w:rsid w:val="00E847F2"/>
    <w:rsid w:val="00E85B55"/>
    <w:rsid w:val="00E862B4"/>
    <w:rsid w:val="00E879A6"/>
    <w:rsid w:val="00E87BBC"/>
    <w:rsid w:val="00E91257"/>
    <w:rsid w:val="00E91A05"/>
    <w:rsid w:val="00E92628"/>
    <w:rsid w:val="00E9286D"/>
    <w:rsid w:val="00E96F59"/>
    <w:rsid w:val="00EA0F0E"/>
    <w:rsid w:val="00EA187F"/>
    <w:rsid w:val="00EA25AF"/>
    <w:rsid w:val="00EA2951"/>
    <w:rsid w:val="00EA34F2"/>
    <w:rsid w:val="00EA3B2A"/>
    <w:rsid w:val="00EA6AF8"/>
    <w:rsid w:val="00EB26F9"/>
    <w:rsid w:val="00EB2BAC"/>
    <w:rsid w:val="00EB2F0F"/>
    <w:rsid w:val="00EB3545"/>
    <w:rsid w:val="00EB3A61"/>
    <w:rsid w:val="00EB452A"/>
    <w:rsid w:val="00EB471D"/>
    <w:rsid w:val="00EB50D3"/>
    <w:rsid w:val="00EB70EA"/>
    <w:rsid w:val="00EC266F"/>
    <w:rsid w:val="00EC2883"/>
    <w:rsid w:val="00EC3DA1"/>
    <w:rsid w:val="00EC6086"/>
    <w:rsid w:val="00EC6DDD"/>
    <w:rsid w:val="00ED0514"/>
    <w:rsid w:val="00ED08A4"/>
    <w:rsid w:val="00ED0C2B"/>
    <w:rsid w:val="00ED32EE"/>
    <w:rsid w:val="00ED374E"/>
    <w:rsid w:val="00ED7A33"/>
    <w:rsid w:val="00EE1002"/>
    <w:rsid w:val="00EE362F"/>
    <w:rsid w:val="00EE3C21"/>
    <w:rsid w:val="00EE535B"/>
    <w:rsid w:val="00EE5FBF"/>
    <w:rsid w:val="00EE6127"/>
    <w:rsid w:val="00EE745F"/>
    <w:rsid w:val="00EF137E"/>
    <w:rsid w:val="00EF24CE"/>
    <w:rsid w:val="00EF485F"/>
    <w:rsid w:val="00EF4877"/>
    <w:rsid w:val="00EF74BD"/>
    <w:rsid w:val="00F04C64"/>
    <w:rsid w:val="00F135EA"/>
    <w:rsid w:val="00F16DE6"/>
    <w:rsid w:val="00F3020F"/>
    <w:rsid w:val="00F32668"/>
    <w:rsid w:val="00F4245A"/>
    <w:rsid w:val="00F42536"/>
    <w:rsid w:val="00F45AFF"/>
    <w:rsid w:val="00F4777E"/>
    <w:rsid w:val="00F5151D"/>
    <w:rsid w:val="00F51536"/>
    <w:rsid w:val="00F51E4B"/>
    <w:rsid w:val="00F55150"/>
    <w:rsid w:val="00F57AD6"/>
    <w:rsid w:val="00F61302"/>
    <w:rsid w:val="00F62BA1"/>
    <w:rsid w:val="00F6399B"/>
    <w:rsid w:val="00F6416C"/>
    <w:rsid w:val="00F65476"/>
    <w:rsid w:val="00F6769E"/>
    <w:rsid w:val="00F71FA0"/>
    <w:rsid w:val="00F72261"/>
    <w:rsid w:val="00F7308F"/>
    <w:rsid w:val="00F80C3B"/>
    <w:rsid w:val="00F81EE4"/>
    <w:rsid w:val="00F90912"/>
    <w:rsid w:val="00F91695"/>
    <w:rsid w:val="00F91F01"/>
    <w:rsid w:val="00F95A9A"/>
    <w:rsid w:val="00FA12CD"/>
    <w:rsid w:val="00FA3505"/>
    <w:rsid w:val="00FA4E42"/>
    <w:rsid w:val="00FA62E9"/>
    <w:rsid w:val="00FA65CC"/>
    <w:rsid w:val="00FB0507"/>
    <w:rsid w:val="00FB2760"/>
    <w:rsid w:val="00FB37B1"/>
    <w:rsid w:val="00FB4A7F"/>
    <w:rsid w:val="00FB4EA1"/>
    <w:rsid w:val="00FC3C06"/>
    <w:rsid w:val="00FC3C9B"/>
    <w:rsid w:val="00FC4C0B"/>
    <w:rsid w:val="00FC6E6E"/>
    <w:rsid w:val="00FD2463"/>
    <w:rsid w:val="00FD6A2E"/>
    <w:rsid w:val="00FD7B36"/>
    <w:rsid w:val="00FE4674"/>
    <w:rsid w:val="00FE49F7"/>
    <w:rsid w:val="00FE4C17"/>
    <w:rsid w:val="00FF43A3"/>
    <w:rsid w:val="00FF5B25"/>
    <w:rsid w:val="00FF7ACB"/>
    <w:rsid w:val="04AC7F6A"/>
    <w:rsid w:val="06C522DE"/>
    <w:rsid w:val="0AA87B23"/>
    <w:rsid w:val="0BF279DD"/>
    <w:rsid w:val="0E3619AE"/>
    <w:rsid w:val="126F080D"/>
    <w:rsid w:val="1A1F3386"/>
    <w:rsid w:val="1AAA580E"/>
    <w:rsid w:val="1B1317AF"/>
    <w:rsid w:val="2251704A"/>
    <w:rsid w:val="24A768ED"/>
    <w:rsid w:val="24B20953"/>
    <w:rsid w:val="2DB54449"/>
    <w:rsid w:val="30D62254"/>
    <w:rsid w:val="34CF1892"/>
    <w:rsid w:val="356C4665"/>
    <w:rsid w:val="3D016CF6"/>
    <w:rsid w:val="3F95001A"/>
    <w:rsid w:val="49C134C0"/>
    <w:rsid w:val="4E862365"/>
    <w:rsid w:val="4EF16244"/>
    <w:rsid w:val="4F800A5D"/>
    <w:rsid w:val="535E1932"/>
    <w:rsid w:val="575A32E1"/>
    <w:rsid w:val="597B27A4"/>
    <w:rsid w:val="5EE36AC2"/>
    <w:rsid w:val="60AE0387"/>
    <w:rsid w:val="6B420BAB"/>
    <w:rsid w:val="7076750A"/>
    <w:rsid w:val="70E35246"/>
    <w:rsid w:val="71CA3325"/>
    <w:rsid w:val="760C687B"/>
    <w:rsid w:val="7A3F5D58"/>
    <w:rsid w:val="7B2671D2"/>
    <w:rsid w:val="7F5C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F2F2F2"/>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1"/>
    <w:qFormat/>
    <w:uiPriority w:val="0"/>
    <w:pPr>
      <w:keepNext/>
      <w:keepLines/>
      <w:snapToGrid w:val="0"/>
      <w:spacing w:line="360" w:lineRule="auto"/>
      <w:outlineLvl w:val="0"/>
    </w:pPr>
    <w:rPr>
      <w:rFonts w:eastAsia="黑体"/>
      <w:bCs/>
      <w:kern w:val="44"/>
      <w:sz w:val="32"/>
      <w:szCs w:val="44"/>
    </w:rPr>
  </w:style>
  <w:style w:type="paragraph" w:styleId="3">
    <w:name w:val="heading 2"/>
    <w:basedOn w:val="1"/>
    <w:next w:val="1"/>
    <w:link w:val="46"/>
    <w:qFormat/>
    <w:uiPriority w:val="0"/>
    <w:pPr>
      <w:keepNext/>
      <w:keepLines/>
      <w:snapToGrid w:val="0"/>
      <w:spacing w:line="360" w:lineRule="auto"/>
      <w:outlineLvl w:val="1"/>
    </w:pPr>
    <w:rPr>
      <w:rFonts w:ascii="Arial" w:hAnsi="Arial" w:eastAsia="黑体"/>
      <w:bCs/>
      <w:sz w:val="28"/>
      <w:szCs w:val="32"/>
    </w:rPr>
  </w:style>
  <w:style w:type="paragraph" w:styleId="4">
    <w:name w:val="heading 3"/>
    <w:basedOn w:val="1"/>
    <w:next w:val="1"/>
    <w:link w:val="51"/>
    <w:qFormat/>
    <w:uiPriority w:val="0"/>
    <w:pPr>
      <w:keepNext/>
      <w:keepLines/>
      <w:snapToGrid w:val="0"/>
      <w:spacing w:line="360" w:lineRule="auto"/>
      <w:outlineLvl w:val="2"/>
    </w:pPr>
    <w:rPr>
      <w:rFonts w:eastAsia="Times New Roman"/>
      <w:b/>
      <w:bCs/>
      <w:sz w:val="24"/>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Calibri" w:hAnsi="Calibri"/>
      <w:szCs w:val="22"/>
    </w:rPr>
  </w:style>
  <w:style w:type="paragraph" w:styleId="6">
    <w:name w:val="Normal Indent"/>
    <w:basedOn w:val="1"/>
    <w:qFormat/>
    <w:uiPriority w:val="0"/>
    <w:pPr>
      <w:ind w:firstLine="420"/>
    </w:pPr>
    <w:rPr>
      <w:szCs w:val="20"/>
    </w:rPr>
  </w:style>
  <w:style w:type="paragraph" w:styleId="7">
    <w:name w:val="Document Map"/>
    <w:basedOn w:val="1"/>
    <w:link w:val="38"/>
    <w:qFormat/>
    <w:uiPriority w:val="0"/>
    <w:rPr>
      <w:rFonts w:ascii="宋体"/>
      <w:sz w:val="18"/>
      <w:szCs w:val="18"/>
    </w:rPr>
  </w:style>
  <w:style w:type="paragraph" w:styleId="8">
    <w:name w:val="annotation text"/>
    <w:basedOn w:val="1"/>
    <w:link w:val="49"/>
    <w:qFormat/>
    <w:uiPriority w:val="0"/>
    <w:pPr>
      <w:jc w:val="left"/>
    </w:pPr>
  </w:style>
  <w:style w:type="paragraph" w:styleId="9">
    <w:name w:val="Body Text Indent"/>
    <w:basedOn w:val="1"/>
    <w:link w:val="52"/>
    <w:qFormat/>
    <w:uiPriority w:val="0"/>
    <w:pPr>
      <w:ind w:firstLine="600" w:firstLineChars="200"/>
    </w:pPr>
    <w:rPr>
      <w:kern w:val="0"/>
      <w:sz w:val="30"/>
      <w:szCs w:val="24"/>
    </w:rPr>
  </w:style>
  <w:style w:type="paragraph" w:styleId="10">
    <w:name w:val="toc 5"/>
    <w:basedOn w:val="1"/>
    <w:next w:val="1"/>
    <w:unhideWhenUsed/>
    <w:qFormat/>
    <w:uiPriority w:val="39"/>
    <w:pPr>
      <w:ind w:left="1680" w:leftChars="800"/>
    </w:pPr>
    <w:rPr>
      <w:rFonts w:ascii="Calibri" w:hAnsi="Calibri"/>
      <w:szCs w:val="22"/>
    </w:rPr>
  </w:style>
  <w:style w:type="paragraph" w:styleId="11">
    <w:name w:val="toc 3"/>
    <w:basedOn w:val="1"/>
    <w:next w:val="1"/>
    <w:qFormat/>
    <w:uiPriority w:val="39"/>
    <w:pPr>
      <w:ind w:left="840" w:leftChars="400"/>
    </w:pPr>
  </w:style>
  <w:style w:type="paragraph" w:styleId="12">
    <w:name w:val="toc 8"/>
    <w:basedOn w:val="1"/>
    <w:next w:val="1"/>
    <w:unhideWhenUsed/>
    <w:qFormat/>
    <w:uiPriority w:val="39"/>
    <w:pPr>
      <w:ind w:left="2940" w:leftChars="1400"/>
    </w:pPr>
    <w:rPr>
      <w:rFonts w:ascii="Calibri" w:hAnsi="Calibri"/>
      <w:szCs w:val="22"/>
    </w:rPr>
  </w:style>
  <w:style w:type="paragraph" w:styleId="13">
    <w:name w:val="Date"/>
    <w:basedOn w:val="1"/>
    <w:next w:val="1"/>
    <w:link w:val="58"/>
    <w:qFormat/>
    <w:uiPriority w:val="0"/>
    <w:pPr>
      <w:ind w:left="100" w:leftChars="2500"/>
    </w:pPr>
  </w:style>
  <w:style w:type="paragraph" w:styleId="14">
    <w:name w:val="Body Text Indent 2"/>
    <w:basedOn w:val="1"/>
    <w:link w:val="45"/>
    <w:qFormat/>
    <w:uiPriority w:val="0"/>
    <w:pPr>
      <w:spacing w:before="120"/>
      <w:ind w:firstLine="538" w:firstLineChars="196"/>
    </w:pPr>
    <w:rPr>
      <w:kern w:val="0"/>
      <w:sz w:val="28"/>
      <w:szCs w:val="24"/>
    </w:rPr>
  </w:style>
  <w:style w:type="paragraph" w:styleId="15">
    <w:name w:val="Balloon Text"/>
    <w:basedOn w:val="1"/>
    <w:link w:val="50"/>
    <w:qFormat/>
    <w:uiPriority w:val="0"/>
    <w:rPr>
      <w:sz w:val="18"/>
      <w:szCs w:val="18"/>
    </w:rPr>
  </w:style>
  <w:style w:type="paragraph" w:styleId="16">
    <w:name w:val="footer"/>
    <w:basedOn w:val="1"/>
    <w:link w:val="53"/>
    <w:qFormat/>
    <w:uiPriority w:val="0"/>
    <w:pPr>
      <w:tabs>
        <w:tab w:val="center" w:pos="4153"/>
        <w:tab w:val="right" w:pos="8306"/>
      </w:tabs>
      <w:snapToGrid w:val="0"/>
      <w:jc w:val="left"/>
    </w:pPr>
    <w:rPr>
      <w:sz w:val="18"/>
      <w:szCs w:val="18"/>
    </w:rPr>
  </w:style>
  <w:style w:type="paragraph" w:styleId="17">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rPr>
      <w:rFonts w:ascii="Calibri" w:hAnsi="Calibri"/>
      <w:szCs w:val="22"/>
    </w:rPr>
  </w:style>
  <w:style w:type="paragraph" w:styleId="20">
    <w:name w:val="Subtitle"/>
    <w:basedOn w:val="1"/>
    <w:link w:val="54"/>
    <w:qFormat/>
    <w:uiPriority w:val="0"/>
    <w:pPr>
      <w:jc w:val="center"/>
    </w:pPr>
    <w:rPr>
      <w:kern w:val="0"/>
      <w:sz w:val="72"/>
      <w:szCs w:val="20"/>
    </w:rPr>
  </w:style>
  <w:style w:type="paragraph" w:styleId="21">
    <w:name w:val="footnote text"/>
    <w:basedOn w:val="1"/>
    <w:link w:val="39"/>
    <w:semiHidden/>
    <w:qFormat/>
    <w:uiPriority w:val="0"/>
    <w:pPr>
      <w:snapToGrid w:val="0"/>
      <w:jc w:val="left"/>
    </w:pPr>
    <w:rPr>
      <w:sz w:val="18"/>
      <w:szCs w:val="18"/>
    </w:rPr>
  </w:style>
  <w:style w:type="paragraph" w:styleId="22">
    <w:name w:val="toc 6"/>
    <w:basedOn w:val="1"/>
    <w:next w:val="1"/>
    <w:unhideWhenUsed/>
    <w:qFormat/>
    <w:uiPriority w:val="39"/>
    <w:pPr>
      <w:ind w:left="2100" w:leftChars="1000"/>
    </w:pPr>
    <w:rPr>
      <w:rFonts w:ascii="Calibri" w:hAnsi="Calibri"/>
      <w:szCs w:val="22"/>
    </w:rPr>
  </w:style>
  <w:style w:type="paragraph" w:styleId="23">
    <w:name w:val="toc 2"/>
    <w:basedOn w:val="1"/>
    <w:next w:val="1"/>
    <w:qFormat/>
    <w:uiPriority w:val="39"/>
    <w:pPr>
      <w:ind w:left="420" w:leftChars="200"/>
    </w:pPr>
  </w:style>
  <w:style w:type="paragraph" w:styleId="24">
    <w:name w:val="toc 9"/>
    <w:basedOn w:val="1"/>
    <w:next w:val="1"/>
    <w:unhideWhenUsed/>
    <w:qFormat/>
    <w:uiPriority w:val="39"/>
    <w:pPr>
      <w:ind w:left="3360" w:leftChars="1600"/>
    </w:pPr>
    <w:rPr>
      <w:rFonts w:ascii="Calibri" w:hAnsi="Calibri"/>
      <w:szCs w:val="22"/>
    </w:rPr>
  </w:style>
  <w:style w:type="paragraph" w:styleId="25">
    <w:name w:val="HTML Preformatted"/>
    <w:basedOn w:val="1"/>
    <w:link w:val="4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7">
    <w:name w:val="Title"/>
    <w:basedOn w:val="1"/>
    <w:link w:val="40"/>
    <w:qFormat/>
    <w:uiPriority w:val="0"/>
    <w:pPr>
      <w:jc w:val="center"/>
    </w:pPr>
    <w:rPr>
      <w:kern w:val="0"/>
      <w:sz w:val="44"/>
      <w:szCs w:val="20"/>
    </w:rPr>
  </w:style>
  <w:style w:type="paragraph" w:styleId="28">
    <w:name w:val="annotation subject"/>
    <w:basedOn w:val="8"/>
    <w:next w:val="8"/>
    <w:link w:val="44"/>
    <w:qFormat/>
    <w:uiPriority w:val="0"/>
    <w:rPr>
      <w:b/>
      <w:bCs/>
    </w:rPr>
  </w:style>
  <w:style w:type="table" w:styleId="30">
    <w:name w:val="Table Grid"/>
    <w:basedOn w:val="2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styleId="34">
    <w:name w:val="footnote reference"/>
    <w:semiHidden/>
    <w:qFormat/>
    <w:uiPriority w:val="0"/>
    <w:rPr>
      <w:vertAlign w:val="superscript"/>
    </w:rPr>
  </w:style>
  <w:style w:type="character" w:customStyle="1" w:styleId="35">
    <w:name w:val="正文文本缩进 Char1"/>
    <w:qFormat/>
    <w:uiPriority w:val="0"/>
    <w:rPr>
      <w:kern w:val="2"/>
      <w:sz w:val="21"/>
      <w:szCs w:val="21"/>
    </w:rPr>
  </w:style>
  <w:style w:type="character" w:customStyle="1" w:styleId="36">
    <w:name w:val="high-light-bg"/>
    <w:qFormat/>
    <w:uiPriority w:val="0"/>
  </w:style>
  <w:style w:type="character" w:customStyle="1" w:styleId="37">
    <w:name w:val="正文文本缩进 2 Char1"/>
    <w:qFormat/>
    <w:uiPriority w:val="0"/>
    <w:rPr>
      <w:kern w:val="2"/>
      <w:sz w:val="21"/>
      <w:szCs w:val="21"/>
    </w:rPr>
  </w:style>
  <w:style w:type="character" w:customStyle="1" w:styleId="38">
    <w:name w:val="文档结构图 字符"/>
    <w:link w:val="7"/>
    <w:qFormat/>
    <w:uiPriority w:val="0"/>
    <w:rPr>
      <w:rFonts w:ascii="宋体"/>
      <w:kern w:val="2"/>
      <w:sz w:val="18"/>
      <w:szCs w:val="18"/>
    </w:rPr>
  </w:style>
  <w:style w:type="character" w:customStyle="1" w:styleId="39">
    <w:name w:val="脚注文本 字符"/>
    <w:link w:val="21"/>
    <w:semiHidden/>
    <w:qFormat/>
    <w:locked/>
    <w:uiPriority w:val="0"/>
    <w:rPr>
      <w:rFonts w:eastAsia="宋体"/>
      <w:kern w:val="2"/>
      <w:sz w:val="18"/>
      <w:szCs w:val="18"/>
      <w:lang w:val="en-US" w:eastAsia="zh-CN" w:bidi="ar-SA"/>
    </w:rPr>
  </w:style>
  <w:style w:type="character" w:customStyle="1" w:styleId="40">
    <w:name w:val="标题 字符"/>
    <w:link w:val="27"/>
    <w:qFormat/>
    <w:uiPriority w:val="0"/>
    <w:rPr>
      <w:sz w:val="44"/>
    </w:rPr>
  </w:style>
  <w:style w:type="character" w:customStyle="1" w:styleId="41">
    <w:name w:val="标题 1 字符"/>
    <w:link w:val="2"/>
    <w:qFormat/>
    <w:uiPriority w:val="0"/>
    <w:rPr>
      <w:rFonts w:eastAsia="黑体"/>
      <w:bCs/>
      <w:kern w:val="44"/>
      <w:sz w:val="32"/>
      <w:szCs w:val="44"/>
    </w:rPr>
  </w:style>
  <w:style w:type="character" w:customStyle="1" w:styleId="42">
    <w:name w:val="hps"/>
    <w:basedOn w:val="31"/>
    <w:qFormat/>
    <w:uiPriority w:val="0"/>
  </w:style>
  <w:style w:type="character" w:customStyle="1" w:styleId="43">
    <w:name w:val="页眉 字符"/>
    <w:link w:val="17"/>
    <w:qFormat/>
    <w:uiPriority w:val="0"/>
    <w:rPr>
      <w:kern w:val="2"/>
      <w:sz w:val="18"/>
      <w:szCs w:val="18"/>
    </w:rPr>
  </w:style>
  <w:style w:type="character" w:customStyle="1" w:styleId="44">
    <w:name w:val="批注主题 字符"/>
    <w:link w:val="28"/>
    <w:qFormat/>
    <w:uiPriority w:val="0"/>
    <w:rPr>
      <w:b/>
      <w:bCs/>
      <w:kern w:val="2"/>
      <w:sz w:val="21"/>
      <w:szCs w:val="21"/>
    </w:rPr>
  </w:style>
  <w:style w:type="character" w:customStyle="1" w:styleId="45">
    <w:name w:val="正文文本缩进 2 字符"/>
    <w:link w:val="14"/>
    <w:qFormat/>
    <w:uiPriority w:val="0"/>
    <w:rPr>
      <w:sz w:val="28"/>
      <w:szCs w:val="24"/>
    </w:rPr>
  </w:style>
  <w:style w:type="character" w:customStyle="1" w:styleId="46">
    <w:name w:val="标题 2 字符"/>
    <w:link w:val="3"/>
    <w:qFormat/>
    <w:uiPriority w:val="0"/>
    <w:rPr>
      <w:rFonts w:ascii="Arial" w:hAnsi="Arial" w:eastAsia="黑体"/>
      <w:bCs/>
      <w:kern w:val="2"/>
      <w:sz w:val="28"/>
      <w:szCs w:val="32"/>
      <w:lang w:val="en-US" w:eastAsia="zh-CN" w:bidi="ar-SA"/>
    </w:rPr>
  </w:style>
  <w:style w:type="character" w:customStyle="1" w:styleId="47">
    <w:name w:val="HTML 预设格式 字符"/>
    <w:basedOn w:val="31"/>
    <w:link w:val="25"/>
    <w:qFormat/>
    <w:uiPriority w:val="99"/>
    <w:rPr>
      <w:rFonts w:ascii="宋体" w:hAnsi="宋体" w:cs="宋体"/>
      <w:sz w:val="24"/>
      <w:szCs w:val="24"/>
    </w:rPr>
  </w:style>
  <w:style w:type="character" w:customStyle="1" w:styleId="48">
    <w:name w:val="副标题 Char1"/>
    <w:qFormat/>
    <w:uiPriority w:val="0"/>
    <w:rPr>
      <w:rFonts w:ascii="Cambria" w:hAnsi="Cambria" w:cs="Times New Roman"/>
      <w:b/>
      <w:bCs/>
      <w:kern w:val="28"/>
      <w:sz w:val="32"/>
      <w:szCs w:val="32"/>
    </w:rPr>
  </w:style>
  <w:style w:type="character" w:customStyle="1" w:styleId="49">
    <w:name w:val="批注文字 字符"/>
    <w:link w:val="8"/>
    <w:qFormat/>
    <w:uiPriority w:val="0"/>
    <w:rPr>
      <w:kern w:val="2"/>
      <w:sz w:val="21"/>
      <w:szCs w:val="21"/>
    </w:rPr>
  </w:style>
  <w:style w:type="character" w:customStyle="1" w:styleId="50">
    <w:name w:val="批注框文本 字符"/>
    <w:link w:val="15"/>
    <w:qFormat/>
    <w:uiPriority w:val="0"/>
    <w:rPr>
      <w:kern w:val="2"/>
      <w:sz w:val="18"/>
      <w:szCs w:val="18"/>
    </w:rPr>
  </w:style>
  <w:style w:type="character" w:customStyle="1" w:styleId="51">
    <w:name w:val="标题 3 字符"/>
    <w:link w:val="4"/>
    <w:qFormat/>
    <w:uiPriority w:val="0"/>
    <w:rPr>
      <w:rFonts w:eastAsia="Times New Roman"/>
      <w:b/>
      <w:bCs/>
      <w:kern w:val="2"/>
      <w:sz w:val="24"/>
      <w:szCs w:val="32"/>
    </w:rPr>
  </w:style>
  <w:style w:type="character" w:customStyle="1" w:styleId="52">
    <w:name w:val="正文文本缩进 字符"/>
    <w:link w:val="9"/>
    <w:qFormat/>
    <w:uiPriority w:val="0"/>
    <w:rPr>
      <w:sz w:val="30"/>
      <w:szCs w:val="24"/>
    </w:rPr>
  </w:style>
  <w:style w:type="character" w:customStyle="1" w:styleId="53">
    <w:name w:val="页脚 字符"/>
    <w:link w:val="16"/>
    <w:qFormat/>
    <w:uiPriority w:val="0"/>
    <w:rPr>
      <w:kern w:val="2"/>
      <w:sz w:val="18"/>
      <w:szCs w:val="18"/>
    </w:rPr>
  </w:style>
  <w:style w:type="character" w:customStyle="1" w:styleId="54">
    <w:name w:val="副标题 字符"/>
    <w:link w:val="20"/>
    <w:qFormat/>
    <w:uiPriority w:val="0"/>
    <w:rPr>
      <w:sz w:val="72"/>
    </w:rPr>
  </w:style>
  <w:style w:type="character" w:customStyle="1" w:styleId="55">
    <w:name w:val="apple-converted-space"/>
    <w:basedOn w:val="31"/>
    <w:qFormat/>
    <w:uiPriority w:val="0"/>
  </w:style>
  <w:style w:type="character" w:customStyle="1" w:styleId="56">
    <w:name w:val="标题 Char1"/>
    <w:qFormat/>
    <w:uiPriority w:val="0"/>
    <w:rPr>
      <w:rFonts w:ascii="Cambria" w:hAnsi="Cambria" w:cs="Times New Roman"/>
      <w:b/>
      <w:bCs/>
      <w:kern w:val="2"/>
      <w:sz w:val="32"/>
      <w:szCs w:val="32"/>
    </w:rPr>
  </w:style>
  <w:style w:type="character" w:customStyle="1" w:styleId="57">
    <w:name w:val="Char Char9"/>
    <w:semiHidden/>
    <w:qFormat/>
    <w:locked/>
    <w:uiPriority w:val="0"/>
    <w:rPr>
      <w:rFonts w:eastAsia="宋体"/>
      <w:kern w:val="2"/>
      <w:sz w:val="18"/>
      <w:lang w:val="en-US" w:eastAsia="zh-CN" w:bidi="ar-SA"/>
    </w:rPr>
  </w:style>
  <w:style w:type="character" w:customStyle="1" w:styleId="58">
    <w:name w:val="日期 字符"/>
    <w:link w:val="13"/>
    <w:qFormat/>
    <w:uiPriority w:val="0"/>
    <w:rPr>
      <w:kern w:val="2"/>
      <w:sz w:val="21"/>
      <w:szCs w:val="21"/>
    </w:rPr>
  </w:style>
  <w:style w:type="paragraph" w:customStyle="1" w:styleId="5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0">
    <w:name w:val="样式1"/>
    <w:basedOn w:val="2"/>
    <w:qFormat/>
    <w:uiPriority w:val="0"/>
    <w:rPr>
      <w:sz w:val="30"/>
    </w:rPr>
  </w:style>
  <w:style w:type="paragraph" w:customStyle="1" w:styleId="6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TOC 标题1"/>
    <w:basedOn w:val="2"/>
    <w:next w:val="1"/>
    <w:qFormat/>
    <w:uiPriority w:val="39"/>
    <w:pPr>
      <w:widowControl/>
      <w:snapToGrid/>
      <w:spacing w:before="480" w:line="276" w:lineRule="auto"/>
      <w:jc w:val="left"/>
      <w:outlineLvl w:val="9"/>
    </w:pPr>
    <w:rPr>
      <w:rFonts w:ascii="Cambria" w:hAnsi="Cambria" w:eastAsia="宋体"/>
      <w:b/>
      <w:color w:val="365F91"/>
      <w:kern w:val="0"/>
      <w:sz w:val="28"/>
      <w:szCs w:val="28"/>
    </w:rPr>
  </w:style>
  <w:style w:type="paragraph" w:customStyle="1" w:styleId="63">
    <w:name w:val="reader-word-layer reader-word-s1-0"/>
    <w:basedOn w:val="1"/>
    <w:qFormat/>
    <w:uiPriority w:val="0"/>
    <w:pPr>
      <w:widowControl/>
      <w:spacing w:before="100" w:beforeAutospacing="1" w:after="100" w:afterAutospacing="1"/>
      <w:jc w:val="left"/>
    </w:pPr>
    <w:rPr>
      <w:rFonts w:ascii="宋体" w:hAnsi="宋体" w:cs="宋体"/>
      <w:kern w:val="0"/>
      <w:sz w:val="24"/>
      <w:szCs w:val="24"/>
    </w:rPr>
  </w:style>
  <w:style w:type="character" w:styleId="64">
    <w:name w:val="Placeholder Text"/>
    <w:basedOn w:val="31"/>
    <w:unhideWhenUsed/>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1" Type="http://schemas.openxmlformats.org/officeDocument/2006/relationships/glossaryDocument" Target="glossary/document.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6.wmf"/><Relationship Id="rId25" Type="http://schemas.openxmlformats.org/officeDocument/2006/relationships/oleObject" Target="embeddings/oleObject5.bin"/><Relationship Id="rId24" Type="http://schemas.openxmlformats.org/officeDocument/2006/relationships/image" Target="media/image5.wmf"/><Relationship Id="rId23" Type="http://schemas.openxmlformats.org/officeDocument/2006/relationships/oleObject" Target="embeddings/oleObject4.bin"/><Relationship Id="rId22" Type="http://schemas.openxmlformats.org/officeDocument/2006/relationships/image" Target="media/image4.wmf"/><Relationship Id="rId21" Type="http://schemas.openxmlformats.org/officeDocument/2006/relationships/oleObject" Target="embeddings/oleObject3.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2.wmf"/><Relationship Id="rId17" Type="http://schemas.openxmlformats.org/officeDocument/2006/relationships/oleObject" Target="embeddings/oleObject1.bin"/><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0645070160836"/>
          <c:y val="0.125678733413141"/>
          <c:w val="0.702699622440245"/>
          <c:h val="0.670902039453394"/>
        </c:manualLayout>
      </c:layout>
      <c:lineChart>
        <c:grouping val="standard"/>
        <c:varyColors val="0"/>
        <c:ser>
          <c:idx val="0"/>
          <c:order val="0"/>
          <c:tx>
            <c:strRef>
              <c:f>Sheet1!$A$2</c:f>
              <c:strCache>
                <c:ptCount val="1"/>
                <c:pt idx="0">
                  <c:v>济 南 市</c:v>
                </c:pt>
              </c:strCache>
            </c:strRef>
          </c:tx>
          <c:spPr>
            <a:ln w="19050" cap="rnd" cmpd="sng" algn="ctr">
              <a:solidFill>
                <a:schemeClr val="tx1"/>
              </a:solidFill>
              <a:prstDash val="sysDot"/>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Sheet1!$B$2:$X$2</c:f>
              <c:numCache>
                <c:formatCode>General</c:formatCode>
                <c:ptCount val="23"/>
                <c:pt idx="0">
                  <c:v>4636</c:v>
                </c:pt>
                <c:pt idx="1">
                  <c:v>4888</c:v>
                </c:pt>
                <c:pt idx="2">
                  <c:v>5111</c:v>
                </c:pt>
                <c:pt idx="3">
                  <c:v>5105</c:v>
                </c:pt>
                <c:pt idx="4">
                  <c:v>5524</c:v>
                </c:pt>
                <c:pt idx="5">
                  <c:v>5329</c:v>
                </c:pt>
                <c:pt idx="6">
                  <c:v>5516</c:v>
                </c:pt>
                <c:pt idx="7">
                  <c:v>4966</c:v>
                </c:pt>
                <c:pt idx="8">
                  <c:v>5073</c:v>
                </c:pt>
                <c:pt idx="9">
                  <c:v>4158</c:v>
                </c:pt>
                <c:pt idx="10">
                  <c:v>5014</c:v>
                </c:pt>
                <c:pt idx="11">
                  <c:v>5498</c:v>
                </c:pt>
                <c:pt idx="12">
                  <c:v>5656</c:v>
                </c:pt>
                <c:pt idx="13">
                  <c:v>5793</c:v>
                </c:pt>
                <c:pt idx="14">
                  <c:v>5793</c:v>
                </c:pt>
                <c:pt idx="15">
                  <c:v>5933</c:v>
                </c:pt>
                <c:pt idx="16">
                  <c:v>5749</c:v>
                </c:pt>
                <c:pt idx="17">
                  <c:v>5838</c:v>
                </c:pt>
                <c:pt idx="18">
                  <c:v>5978</c:v>
                </c:pt>
                <c:pt idx="19">
                  <c:v>6032</c:v>
                </c:pt>
                <c:pt idx="20">
                  <c:v>5886.43</c:v>
                </c:pt>
                <c:pt idx="21">
                  <c:v>6002.43320139329</c:v>
                </c:pt>
                <c:pt idx="22">
                  <c:v>6182.49485069886</c:v>
                </c:pt>
              </c:numCache>
            </c:numRef>
          </c:val>
          <c:smooth val="0"/>
        </c:ser>
        <c:ser>
          <c:idx val="1"/>
          <c:order val="1"/>
          <c:tx>
            <c:strRef>
              <c:f>Sheet1!$A$3</c:f>
              <c:strCache>
                <c:ptCount val="1"/>
                <c:pt idx="0">
                  <c:v>青 岛 市</c:v>
                </c:pt>
              </c:strCache>
            </c:strRef>
          </c:tx>
          <c:spPr>
            <a:ln w="15875" cap="rnd" cmpd="sng" algn="ctr">
              <a:solidFill>
                <a:schemeClr val="tx1"/>
              </a:solidFill>
              <a:prstDash val="solid"/>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Sheet1!$B$3:$X$3</c:f>
              <c:numCache>
                <c:formatCode>General</c:formatCode>
                <c:ptCount val="23"/>
                <c:pt idx="0">
                  <c:v>5294</c:v>
                </c:pt>
                <c:pt idx="1">
                  <c:v>5313</c:v>
                </c:pt>
                <c:pt idx="2">
                  <c:v>5675</c:v>
                </c:pt>
                <c:pt idx="3">
                  <c:v>5698</c:v>
                </c:pt>
                <c:pt idx="4">
                  <c:v>5926</c:v>
                </c:pt>
                <c:pt idx="5">
                  <c:v>6297</c:v>
                </c:pt>
                <c:pt idx="6">
                  <c:v>6095</c:v>
                </c:pt>
                <c:pt idx="7">
                  <c:v>6029</c:v>
                </c:pt>
                <c:pt idx="8">
                  <c:v>5864</c:v>
                </c:pt>
                <c:pt idx="9">
                  <c:v>5651</c:v>
                </c:pt>
                <c:pt idx="10">
                  <c:v>5944</c:v>
                </c:pt>
                <c:pt idx="11">
                  <c:v>6181</c:v>
                </c:pt>
                <c:pt idx="12">
                  <c:v>5986</c:v>
                </c:pt>
                <c:pt idx="13">
                  <c:v>6095</c:v>
                </c:pt>
                <c:pt idx="14">
                  <c:v>6095</c:v>
                </c:pt>
                <c:pt idx="15">
                  <c:v>6220</c:v>
                </c:pt>
                <c:pt idx="16">
                  <c:v>6479</c:v>
                </c:pt>
                <c:pt idx="17">
                  <c:v>6186</c:v>
                </c:pt>
                <c:pt idx="18">
                  <c:v>6118</c:v>
                </c:pt>
                <c:pt idx="19">
                  <c:v>6088</c:v>
                </c:pt>
                <c:pt idx="20">
                  <c:v>6047.6</c:v>
                </c:pt>
                <c:pt idx="21">
                  <c:v>6160.48780837076</c:v>
                </c:pt>
                <c:pt idx="22">
                  <c:v>6242.52324478179</c:v>
                </c:pt>
              </c:numCache>
            </c:numRef>
          </c:val>
          <c:smooth val="0"/>
        </c:ser>
        <c:ser>
          <c:idx val="2"/>
          <c:order val="2"/>
          <c:tx>
            <c:strRef>
              <c:f>Sheet1!$A$4</c:f>
              <c:strCache>
                <c:ptCount val="1"/>
                <c:pt idx="0">
                  <c:v>淄 博 市</c:v>
                </c:pt>
              </c:strCache>
            </c:strRef>
          </c:tx>
          <c:spPr>
            <a:ln w="25400" cap="rnd" cmpd="sng" algn="ctr">
              <a:solidFill>
                <a:schemeClr val="tx1">
                  <a:lumMod val="65000"/>
                  <a:lumOff val="35000"/>
                </a:schemeClr>
              </a:solidFill>
              <a:prstDash val="dash"/>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Sheet1!$B$4:$X$4</c:f>
              <c:numCache>
                <c:formatCode>General</c:formatCode>
                <c:ptCount val="23"/>
                <c:pt idx="0">
                  <c:v>5411</c:v>
                </c:pt>
                <c:pt idx="1">
                  <c:v>5412</c:v>
                </c:pt>
                <c:pt idx="2">
                  <c:v>5728</c:v>
                </c:pt>
                <c:pt idx="3">
                  <c:v>5825</c:v>
                </c:pt>
                <c:pt idx="4">
                  <c:v>6022</c:v>
                </c:pt>
                <c:pt idx="5">
                  <c:v>6131</c:v>
                </c:pt>
                <c:pt idx="6">
                  <c:v>5726</c:v>
                </c:pt>
                <c:pt idx="7">
                  <c:v>5602</c:v>
                </c:pt>
                <c:pt idx="8">
                  <c:v>5540</c:v>
                </c:pt>
                <c:pt idx="9">
                  <c:v>4465</c:v>
                </c:pt>
                <c:pt idx="10">
                  <c:v>5634</c:v>
                </c:pt>
                <c:pt idx="11">
                  <c:v>5988</c:v>
                </c:pt>
                <c:pt idx="12">
                  <c:v>6025</c:v>
                </c:pt>
                <c:pt idx="13">
                  <c:v>6051</c:v>
                </c:pt>
                <c:pt idx="14">
                  <c:v>6051</c:v>
                </c:pt>
                <c:pt idx="15">
                  <c:v>6231</c:v>
                </c:pt>
                <c:pt idx="16">
                  <c:v>5367</c:v>
                </c:pt>
                <c:pt idx="17">
                  <c:v>6196</c:v>
                </c:pt>
                <c:pt idx="18">
                  <c:v>6289</c:v>
                </c:pt>
                <c:pt idx="19">
                  <c:v>6203</c:v>
                </c:pt>
                <c:pt idx="20">
                  <c:v>6284.88</c:v>
                </c:pt>
                <c:pt idx="21">
                  <c:v>6461.39667568641</c:v>
                </c:pt>
                <c:pt idx="22">
                  <c:v>6562.04548416526</c:v>
                </c:pt>
              </c:numCache>
            </c:numRef>
          </c:val>
          <c:smooth val="0"/>
        </c:ser>
        <c:ser>
          <c:idx val="3"/>
          <c:order val="3"/>
          <c:tx>
            <c:strRef>
              <c:f>Sheet1!$A$5</c:f>
              <c:strCache>
                <c:ptCount val="1"/>
                <c:pt idx="0">
                  <c:v>枣 庄 市</c:v>
                </c:pt>
              </c:strCache>
            </c:strRef>
          </c:tx>
          <c:spPr>
            <a:ln w="25400" cap="rnd" cmpd="dbl" algn="ctr">
              <a:solidFill>
                <a:schemeClr val="tx1"/>
              </a:solidFill>
              <a:prstDash val="dash"/>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Sheet1!$B$5:$X$5</c:f>
              <c:numCache>
                <c:formatCode>General</c:formatCode>
                <c:ptCount val="23"/>
                <c:pt idx="0">
                  <c:v>5358</c:v>
                </c:pt>
                <c:pt idx="1">
                  <c:v>5596</c:v>
                </c:pt>
                <c:pt idx="2">
                  <c:v>5898</c:v>
                </c:pt>
                <c:pt idx="3">
                  <c:v>6163</c:v>
                </c:pt>
                <c:pt idx="4">
                  <c:v>6444</c:v>
                </c:pt>
                <c:pt idx="5">
                  <c:v>4529</c:v>
                </c:pt>
                <c:pt idx="6">
                  <c:v>6376</c:v>
                </c:pt>
                <c:pt idx="7">
                  <c:v>4827</c:v>
                </c:pt>
                <c:pt idx="8">
                  <c:v>5164</c:v>
                </c:pt>
                <c:pt idx="9">
                  <c:v>5249</c:v>
                </c:pt>
                <c:pt idx="10">
                  <c:v>5623</c:v>
                </c:pt>
                <c:pt idx="11">
                  <c:v>6175</c:v>
                </c:pt>
                <c:pt idx="12">
                  <c:v>6300</c:v>
                </c:pt>
                <c:pt idx="13">
                  <c:v>6470</c:v>
                </c:pt>
                <c:pt idx="14">
                  <c:v>6470</c:v>
                </c:pt>
                <c:pt idx="15">
                  <c:v>6530</c:v>
                </c:pt>
                <c:pt idx="16">
                  <c:v>6575</c:v>
                </c:pt>
                <c:pt idx="17">
                  <c:v>6706</c:v>
                </c:pt>
                <c:pt idx="18">
                  <c:v>6167</c:v>
                </c:pt>
                <c:pt idx="19">
                  <c:v>6114</c:v>
                </c:pt>
                <c:pt idx="20">
                  <c:v>6033.17</c:v>
                </c:pt>
                <c:pt idx="21">
                  <c:v>6089.55</c:v>
                </c:pt>
                <c:pt idx="22">
                  <c:v>6186.38753557474</c:v>
                </c:pt>
              </c:numCache>
            </c:numRef>
          </c:val>
          <c:smooth val="0"/>
        </c:ser>
        <c:dLbls>
          <c:showLegendKey val="0"/>
          <c:showVal val="0"/>
          <c:showCatName val="0"/>
          <c:showSerName val="0"/>
          <c:showPercent val="0"/>
          <c:showBubbleSize val="0"/>
        </c:dLbls>
        <c:marker val="0"/>
        <c:smooth val="0"/>
        <c:axId val="261142192"/>
        <c:axId val="262056048"/>
      </c:lineChart>
      <c:catAx>
        <c:axId val="26114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62056048"/>
        <c:crosses val="autoZero"/>
        <c:auto val="1"/>
        <c:lblAlgn val="ctr"/>
        <c:lblOffset val="100"/>
        <c:noMultiLvlLbl val="0"/>
      </c:catAx>
      <c:valAx>
        <c:axId val="262056048"/>
        <c:scaling>
          <c:orientation val="minMax"/>
          <c:min val="3000"/>
        </c:scaling>
        <c:delete val="0"/>
        <c:axPos val="l"/>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t" anchorCtr="0"/>
              <a:lstStyle/>
              <a:p>
                <a:pPr>
                  <a:defRPr lang="zh-CN" sz="1000" b="0" i="0" u="none" strike="noStrike" kern="1200" baseline="0">
                    <a:solidFill>
                      <a:schemeClr val="tx1">
                        <a:lumMod val="65000"/>
                        <a:lumOff val="35000"/>
                      </a:schemeClr>
                    </a:solidFill>
                    <a:latin typeface="+mn-lt"/>
                    <a:ea typeface="+mn-ea"/>
                    <a:cs typeface="+mn-cs"/>
                  </a:defRPr>
                </a:pPr>
                <a:r>
                  <a:rPr lang="zh-CN" altLang="en-US">
                    <a:latin typeface="宋体" panose="02010600030101010101" charset="-122"/>
                    <a:ea typeface="宋体" panose="02010600030101010101" charset="-122"/>
                  </a:rPr>
                  <a:t>单产  千克</a:t>
                </a:r>
                <a:r>
                  <a:rPr lang="en-US" altLang="zh-CN">
                    <a:latin typeface="宋体" panose="02010600030101010101" charset="-122"/>
                    <a:ea typeface="宋体" panose="02010600030101010101" charset="-122"/>
                  </a:rPr>
                  <a:t>/</a:t>
                </a:r>
                <a:r>
                  <a:rPr lang="zh-CN" altLang="en-US">
                    <a:latin typeface="宋体" panose="02010600030101010101" charset="-122"/>
                    <a:ea typeface="宋体" panose="02010600030101010101" charset="-122"/>
                  </a:rPr>
                  <a:t>公顷</a:t>
                </a:r>
                <a:endParaRPr lang="zh-CN" altLang="en-US">
                  <a:latin typeface="宋体" panose="02010600030101010101" charset="-122"/>
                  <a:ea typeface="宋体" panose="02010600030101010101" charset="-122"/>
                </a:endParaRPr>
              </a:p>
            </c:rich>
          </c:tx>
          <c:layout>
            <c:manualLayout>
              <c:xMode val="edge"/>
              <c:yMode val="edge"/>
              <c:x val="0.0635749285605511"/>
              <c:y val="0.0268014406937354"/>
            </c:manualLayout>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61142192"/>
        <c:crosses val="autoZero"/>
        <c:crossBetween val="between"/>
      </c:valAx>
      <c:spPr>
        <a:noFill/>
        <a:ln>
          <a:noFill/>
        </a:ln>
        <a:effectLst/>
      </c:spPr>
    </c:plotArea>
    <c:legend>
      <c:legendPos val="b"/>
      <c:layout>
        <c:manualLayout>
          <c:xMode val="edge"/>
          <c:yMode val="edge"/>
          <c:x val="0.140500653166007"/>
          <c:y val="0.920141968335329"/>
          <c:w val="0.737201365187713"/>
          <c:h val="0.060333829538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legend>
    <c:plotVisOnly val="1"/>
    <c:dispBlanksAs val="gap"/>
    <c:showDLblsOverMax val="0"/>
    <c:extLst>
      <c:ext uri="{0b15fc19-7d7d-44ad-8c2d-2c3a37ce22c3}">
        <chartProps xmlns="https://web.wps.cn/et/2018/main" chartId="{1b07c55e-9d0a-4fb7-9aea-775e3aa25c76}"/>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8684082489846"/>
          <c:y val="0.16001075166809"/>
          <c:w val="0.720209904447518"/>
          <c:h val="0.654046444314649"/>
        </c:manualLayout>
      </c:layout>
      <c:barChart>
        <c:barDir val="col"/>
        <c:grouping val="clustered"/>
        <c:varyColors val="0"/>
        <c:ser>
          <c:idx val="0"/>
          <c:order val="0"/>
          <c:tx>
            <c:strRef>
              <c:f>Sheet1!$C$1</c:f>
              <c:strCache>
                <c:ptCount val="1"/>
                <c:pt idx="0">
                  <c:v>实际产量</c:v>
                </c:pt>
              </c:strCache>
            </c:strRef>
          </c:tx>
          <c:spPr>
            <a:pattFill prst="pct75">
              <a:fgClr>
                <a:schemeClr val="tx1">
                  <a:lumMod val="65000"/>
                  <a:lumOff val="35000"/>
                </a:schemeClr>
              </a:fgClr>
              <a:bgClr>
                <a:schemeClr val="bg1"/>
              </a:bgClr>
            </a:pattFill>
            <a:ln>
              <a:noFill/>
            </a:ln>
            <a:effectLst/>
          </c:spPr>
          <c:invertIfNegative val="0"/>
          <c:dLbls>
            <c:delete val="1"/>
          </c:dLbls>
          <c:cat>
            <c:strRef>
              <c:f>Sheet1!$B$2:$B$5</c:f>
              <c:strCache>
                <c:ptCount val="4"/>
                <c:pt idx="0">
                  <c:v>滨州市</c:v>
                </c:pt>
                <c:pt idx="1">
                  <c:v>德州市</c:v>
                </c:pt>
                <c:pt idx="2">
                  <c:v>东营市</c:v>
                </c:pt>
                <c:pt idx="3">
                  <c:v>菏泽市</c:v>
                </c:pt>
              </c:strCache>
            </c:strRef>
          </c:cat>
          <c:val>
            <c:numRef>
              <c:f>Sheet1!$C$2:$C$5</c:f>
              <c:numCache>
                <c:formatCode>General</c:formatCode>
                <c:ptCount val="4"/>
                <c:pt idx="0">
                  <c:v>4061</c:v>
                </c:pt>
                <c:pt idx="1">
                  <c:v>5693</c:v>
                </c:pt>
                <c:pt idx="2">
                  <c:v>4440</c:v>
                </c:pt>
                <c:pt idx="3">
                  <c:v>4489</c:v>
                </c:pt>
              </c:numCache>
            </c:numRef>
          </c:val>
        </c:ser>
        <c:ser>
          <c:idx val="1"/>
          <c:order val="1"/>
          <c:tx>
            <c:strRef>
              <c:f>Sheet1!$D$1</c:f>
              <c:strCache>
                <c:ptCount val="1"/>
                <c:pt idx="0">
                  <c:v>趋势产量</c:v>
                </c:pt>
              </c:strCache>
            </c:strRef>
          </c:tx>
          <c:spPr>
            <a:pattFill prst="dkDnDiag">
              <a:fgClr>
                <a:schemeClr val="tx1">
                  <a:lumMod val="65000"/>
                  <a:lumOff val="35000"/>
                </a:schemeClr>
              </a:fgClr>
              <a:bgClr>
                <a:schemeClr val="bg1"/>
              </a:bgClr>
            </a:pattFill>
            <a:ln>
              <a:noFill/>
            </a:ln>
            <a:effectLst/>
          </c:spPr>
          <c:invertIfNegative val="0"/>
          <c:dLbls>
            <c:delete val="1"/>
          </c:dLbls>
          <c:cat>
            <c:strRef>
              <c:f>Sheet1!$B$2:$B$5</c:f>
              <c:strCache>
                <c:ptCount val="4"/>
                <c:pt idx="0">
                  <c:v>滨州市</c:v>
                </c:pt>
                <c:pt idx="1">
                  <c:v>德州市</c:v>
                </c:pt>
                <c:pt idx="2">
                  <c:v>东营市</c:v>
                </c:pt>
                <c:pt idx="3">
                  <c:v>菏泽市</c:v>
                </c:pt>
              </c:strCache>
            </c:strRef>
          </c:cat>
          <c:val>
            <c:numRef>
              <c:f>Sheet1!$D$2:$D$5</c:f>
              <c:numCache>
                <c:formatCode>General</c:formatCode>
                <c:ptCount val="4"/>
                <c:pt idx="0">
                  <c:v>4440.82427762322</c:v>
                </c:pt>
                <c:pt idx="1">
                  <c:v>5731.20566050012</c:v>
                </c:pt>
                <c:pt idx="2">
                  <c:v>4384.44469755433</c:v>
                </c:pt>
                <c:pt idx="3">
                  <c:v>4833.09077451344</c:v>
                </c:pt>
              </c:numCache>
            </c:numRef>
          </c:val>
        </c:ser>
        <c:dLbls>
          <c:showLegendKey val="0"/>
          <c:showVal val="0"/>
          <c:showCatName val="0"/>
          <c:showSerName val="0"/>
          <c:showPercent val="0"/>
          <c:showBubbleSize val="0"/>
        </c:dLbls>
        <c:gapWidth val="219"/>
        <c:overlap val="-27"/>
        <c:axId val="343527168"/>
        <c:axId val="338249088"/>
      </c:barChart>
      <c:catAx>
        <c:axId val="34352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8249088"/>
        <c:crosses val="autoZero"/>
        <c:auto val="1"/>
        <c:lblAlgn val="ctr"/>
        <c:lblOffset val="100"/>
        <c:noMultiLvlLbl val="0"/>
      </c:catAx>
      <c:valAx>
        <c:axId val="338249088"/>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t" anchorCtr="0"/>
              <a:lstStyle/>
              <a:p>
                <a:pPr>
                  <a:defRPr lang="zh-CN" sz="1000" b="0" i="0" u="none" strike="noStrike" kern="1200" baseline="0">
                    <a:solidFill>
                      <a:schemeClr val="tx1">
                        <a:lumMod val="65000"/>
                        <a:lumOff val="35000"/>
                      </a:schemeClr>
                    </a:solidFill>
                    <a:latin typeface="+mn-lt"/>
                    <a:ea typeface="+mn-ea"/>
                    <a:cs typeface="+mn-cs"/>
                  </a:defRPr>
                </a:pPr>
                <a:r>
                  <a:rPr lang="zh-CN" altLang="en-US">
                    <a:latin typeface="宋体" panose="02010600030101010101" charset="-122"/>
                    <a:ea typeface="宋体" panose="02010600030101010101" charset="-122"/>
                  </a:rPr>
                  <a:t>产量  千克</a:t>
                </a:r>
                <a:r>
                  <a:rPr lang="en-US" altLang="zh-CN">
                    <a:latin typeface="宋体" panose="02010600030101010101" charset="-122"/>
                    <a:ea typeface="宋体" panose="02010600030101010101" charset="-122"/>
                  </a:rPr>
                  <a:t>/</a:t>
                </a:r>
                <a:r>
                  <a:rPr lang="zh-CN" altLang="en-US">
                    <a:latin typeface="宋体" panose="02010600030101010101" charset="-122"/>
                    <a:ea typeface="宋体" panose="02010600030101010101" charset="-122"/>
                  </a:rPr>
                  <a:t>亩</a:t>
                </a:r>
                <a:endParaRPr lang="zh-CN" altLang="en-US">
                  <a:latin typeface="宋体" panose="02010600030101010101" charset="-122"/>
                  <a:ea typeface="宋体" panose="02010600030101010101" charset="-122"/>
                </a:endParaRPr>
              </a:p>
            </c:rich>
          </c:tx>
          <c:layout>
            <c:manualLayout>
              <c:xMode val="edge"/>
              <c:yMode val="edge"/>
              <c:x val="0.100114552122756"/>
              <c:y val="0.0628276887075864"/>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p>
        </c:txPr>
        <c:crossAx val="3435271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2066f43-c369-473f-8c01-4c9fcd90da8c}"/>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5fe70f-9327-45f1-935f-02d508b0edde}"/>
        <w:style w:val=""/>
        <w:category>
          <w:name w:val="常规"/>
          <w:gallery w:val="placeholder"/>
        </w:category>
        <w:types>
          <w:type w:val="bbPlcHdr"/>
        </w:types>
        <w:behaviors>
          <w:behavior w:val="content"/>
        </w:behaviors>
        <w:description w:val=""/>
        <w:guid w:val="{c85fe70f-9327-45f1-935f-02d508b0edde}"/>
      </w:docPartPr>
      <w:docPartBody>
        <w:p w14:paraId="5D138F8A">
          <w:pPr>
            <w:pStyle w:val="2"/>
            <w:rPr>
              <w:rFonts w:hint="eastAsia"/>
            </w:rPr>
          </w:pPr>
          <w:r>
            <w:rPr>
              <w:rStyle w:val="3"/>
              <w:rFonts w:hint="eastAsia"/>
            </w:rPr>
            <w:t>点击此处填写UDC</w:t>
          </w:r>
        </w:p>
      </w:docPartBody>
    </w:docPart>
    <w:docPart>
      <w:docPartPr>
        <w:name w:val="{8a79ead9-81bf-40a4-9472-e51620030ee4}"/>
        <w:style w:val=""/>
        <w:category>
          <w:name w:val="常规"/>
          <w:gallery w:val="placeholder"/>
        </w:category>
        <w:types>
          <w:type w:val="bbPlcHdr"/>
        </w:types>
        <w:behaviors>
          <w:behavior w:val="content"/>
        </w:behaviors>
        <w:description w:val=""/>
        <w:guid w:val="{8a79ead9-81bf-40a4-9472-e51620030ee4}"/>
      </w:docPartPr>
      <w:docPartBody>
        <w:p w14:paraId="6375729A">
          <w:pPr>
            <w:pStyle w:val="4"/>
            <w:rPr>
              <w:rFonts w:hint="eastAsia"/>
            </w:rPr>
          </w:pPr>
          <w:r>
            <w:rPr>
              <w:rStyle w:val="3"/>
              <w:rFonts w:hint="eastAsia"/>
            </w:rPr>
            <w:t>点击此处填写，除涉密论文外均应填“公开”</w:t>
          </w:r>
        </w:p>
      </w:docPartBody>
    </w:docPart>
    <w:docPart>
      <w:docPartPr>
        <w:name w:val="{13b7da6d-4bfe-4bae-9fcb-356b938fccdd}"/>
        <w:style w:val=""/>
        <w:category>
          <w:name w:val="常规"/>
          <w:gallery w:val="placeholder"/>
        </w:category>
        <w:types>
          <w:type w:val="bbPlcHdr"/>
        </w:types>
        <w:behaviors>
          <w:behavior w:val="content"/>
        </w:behaviors>
        <w:description w:val=""/>
        <w:guid w:val="{13b7da6d-4bfe-4bae-9fcb-356b938fccdd}"/>
      </w:docPartPr>
      <w:docPartBody>
        <w:p w14:paraId="23E4AB32">
          <w:pPr>
            <w:pStyle w:val="5"/>
            <w:rPr>
              <w:rFonts w:hint="eastAsia"/>
            </w:rPr>
          </w:pPr>
          <w:r>
            <w:rPr>
              <w:rStyle w:val="3"/>
              <w:rFonts w:hint="eastAsia"/>
            </w:rPr>
            <w:t>点击此处填写学号</w:t>
          </w:r>
        </w:p>
      </w:docPartBody>
    </w:docPart>
    <w:docPart>
      <w:docPartPr>
        <w:name w:val="{5df6c6c6-fc60-41c1-8bda-7aeb65e24c9f}"/>
        <w:style w:val=""/>
        <w:category>
          <w:name w:val="常规"/>
          <w:gallery w:val="placeholder"/>
        </w:category>
        <w:types>
          <w:type w:val="bbPlcHdr"/>
        </w:types>
        <w:behaviors>
          <w:behavior w:val="content"/>
        </w:behaviors>
        <w:description w:val=""/>
        <w:guid w:val="{5df6c6c6-fc60-41c1-8bda-7aeb65e24c9f}"/>
      </w:docPartPr>
      <w:docPartBody>
        <w:p w14:paraId="24679ED9">
          <w:pPr>
            <w:pStyle w:val="6"/>
            <w:rPr>
              <w:rFonts w:hint="eastAsia"/>
            </w:rPr>
          </w:pPr>
          <w:r>
            <w:rPr>
              <w:rStyle w:val="3"/>
              <w:rFonts w:hint="eastAsia"/>
            </w:rPr>
            <w:t>点击此处填写中图分类号</w:t>
          </w:r>
        </w:p>
      </w:docPartBody>
    </w:docPart>
    <w:docPart>
      <w:docPartPr>
        <w:name w:val="{c321fcec-02d9-4816-a4c4-10e5a79f24b4}"/>
        <w:style w:val=""/>
        <w:category>
          <w:name w:val="常规"/>
          <w:gallery w:val="placeholder"/>
        </w:category>
        <w:types>
          <w:type w:val="bbPlcHdr"/>
        </w:types>
        <w:behaviors>
          <w:behavior w:val="content"/>
        </w:behaviors>
        <w:description w:val=""/>
        <w:guid w:val="{c321fcec-02d9-4816-a4c4-10e5a79f24b4}"/>
      </w:docPartPr>
      <w:docPartBody>
        <w:p w14:paraId="29E2C42B">
          <w:pPr>
            <w:pStyle w:val="7"/>
            <w:rPr>
              <w:rFonts w:hint="eastAsia"/>
            </w:rPr>
          </w:pPr>
          <w:r>
            <w:rPr>
              <w:rFonts w:hint="eastAsia" w:asciiTheme="majorEastAsia" w:hAnsiTheme="majorEastAsia" w:eastAsiaTheme="majorEastAsia"/>
              <w:sz w:val="44"/>
              <w:szCs w:val="44"/>
            </w:rPr>
            <w:t>中文题目，二号黑体，居中</w:t>
          </w:r>
        </w:p>
      </w:docPartBody>
    </w:docPart>
    <w:docPart>
      <w:docPartPr>
        <w:name w:val="{d60a89a7-91ee-4953-881b-10cac0e68d77}"/>
        <w:style w:val=""/>
        <w:category>
          <w:name w:val="常规"/>
          <w:gallery w:val="placeholder"/>
        </w:category>
        <w:types>
          <w:type w:val="bbPlcHdr"/>
        </w:types>
        <w:behaviors>
          <w:behavior w:val="content"/>
        </w:behaviors>
        <w:description w:val=""/>
        <w:guid w:val="{d60a89a7-91ee-4953-881b-10cac0e68d77}"/>
      </w:docPartPr>
      <w:docPartBody>
        <w:p w14:paraId="33677995">
          <w:pPr>
            <w:pStyle w:val="8"/>
            <w:rPr>
              <w:rFonts w:hint="eastAsia"/>
            </w:rPr>
          </w:pPr>
          <w:r>
            <w:rPr>
              <w:rStyle w:val="3"/>
              <w:rFonts w:hint="eastAsia"/>
            </w:rPr>
            <w:t>学院全称</w:t>
          </w:r>
        </w:p>
      </w:docPartBody>
    </w:docPart>
    <w:docPart>
      <w:docPartPr>
        <w:name w:val="{98ebb198-14de-42d0-8eff-072b18d3297b}"/>
        <w:style w:val=""/>
        <w:category>
          <w:name w:val="常规"/>
          <w:gallery w:val="placeholder"/>
        </w:category>
        <w:types>
          <w:type w:val="bbPlcHdr"/>
        </w:types>
        <w:behaviors>
          <w:behavior w:val="content"/>
        </w:behaviors>
        <w:description w:val=""/>
        <w:guid w:val="{98ebb198-14de-42d0-8eff-072b18d3297b}"/>
      </w:docPartPr>
      <w:docPartBody>
        <w:p w14:paraId="5173A5A3">
          <w:pPr>
            <w:pStyle w:val="9"/>
            <w:rPr>
              <w:rFonts w:hint="eastAsia"/>
            </w:rPr>
          </w:pPr>
          <w:r>
            <w:rPr>
              <w:rStyle w:val="3"/>
              <w:rFonts w:hint="eastAsia"/>
            </w:rPr>
            <w:t>与招生专业一致</w:t>
          </w:r>
        </w:p>
      </w:docPartBody>
    </w:docPart>
    <w:docPart>
      <w:docPartPr>
        <w:name w:val="{1e7344e4-d670-4197-9e46-6409ebeb47d1}"/>
        <w:style w:val=""/>
        <w:category>
          <w:name w:val="常规"/>
          <w:gallery w:val="placeholder"/>
        </w:category>
        <w:types>
          <w:type w:val="bbPlcHdr"/>
        </w:types>
        <w:behaviors>
          <w:behavior w:val="content"/>
        </w:behaviors>
        <w:description w:val=""/>
        <w:guid w:val="{1e7344e4-d670-4197-9e46-6409ebeb47d1}"/>
      </w:docPartPr>
      <w:docPartBody>
        <w:p w14:paraId="47225984">
          <w:pPr>
            <w:pStyle w:val="10"/>
            <w:rPr>
              <w:rFonts w:hint="eastAsia"/>
            </w:rPr>
          </w:pPr>
          <w:r>
            <w:rPr>
              <w:rStyle w:val="3"/>
              <w:rFonts w:hint="eastAsia"/>
            </w:rPr>
            <w:t>导师姓名　职称</w:t>
          </w:r>
        </w:p>
      </w:docPartBody>
    </w:docPart>
    <w:docPart>
      <w:docPartPr>
        <w:name w:val="{e96d511f-3552-440d-b79e-02bfb72723d3}"/>
        <w:style w:val=""/>
        <w:category>
          <w:name w:val="常规"/>
          <w:gallery w:val="placeholder"/>
        </w:category>
        <w:types>
          <w:type w:val="bbPlcHdr"/>
        </w:types>
        <w:behaviors>
          <w:behavior w:val="content"/>
        </w:behaviors>
        <w:description w:val=""/>
        <w:guid w:val="{e96d511f-3552-440d-b79e-02bfb72723d3}"/>
      </w:docPartPr>
      <w:docPartBody>
        <w:p w14:paraId="4823FFAC">
          <w:pPr>
            <w:pStyle w:val="11"/>
            <w:rPr>
              <w:rFonts w:hint="eastAsia"/>
            </w:rPr>
          </w:pPr>
          <w:r>
            <w:rPr>
              <w:rStyle w:val="3"/>
              <w:rFonts w:hint="eastAsia"/>
            </w:rPr>
            <w:t>行业导师姓名　职称</w:t>
          </w:r>
        </w:p>
      </w:docPartBody>
    </w:docPart>
    <w:docPart>
      <w:docPartPr>
        <w:name w:val="{0120a1d1-a4d1-4559-b7f8-20f28d289393}"/>
        <w:style w:val=""/>
        <w:category>
          <w:name w:val="常规"/>
          <w:gallery w:val="placeholder"/>
        </w:category>
        <w:types>
          <w:type w:val="bbPlcHdr"/>
        </w:types>
        <w:behaviors>
          <w:behavior w:val="content"/>
        </w:behaviors>
        <w:description w:val=""/>
        <w:guid w:val="{0120a1d1-a4d1-4559-b7f8-20f28d289393}"/>
      </w:docPartPr>
      <w:docPartBody>
        <w:p w14:paraId="2D6CA562">
          <w:pPr>
            <w:pStyle w:val="12"/>
            <w:rPr>
              <w:rFonts w:hint="eastAsia"/>
            </w:rPr>
          </w:pPr>
          <w:r>
            <w:rPr>
              <w:rStyle w:val="3"/>
              <w:rFonts w:hint="eastAsia"/>
            </w:rPr>
            <w:t xml:space="preserve">    </w:t>
          </w:r>
        </w:p>
      </w:docPartBody>
    </w:docPart>
    <w:docPart>
      <w:docPartPr>
        <w:name w:val="{3e61f7c8-6d24-4856-a9cf-f39aec815dd8}"/>
        <w:style w:val=""/>
        <w:category>
          <w:name w:val="常规"/>
          <w:gallery w:val="placeholder"/>
        </w:category>
        <w:types>
          <w:type w:val="bbPlcHdr"/>
        </w:types>
        <w:behaviors>
          <w:behavior w:val="content"/>
        </w:behaviors>
        <w:description w:val=""/>
        <w:guid w:val="{3e61f7c8-6d24-4856-a9cf-f39aec815dd8}"/>
      </w:docPartPr>
      <w:docPartBody>
        <w:p w14:paraId="7620A4E6">
          <w:pPr>
            <w:pStyle w:val="13"/>
            <w:rPr>
              <w:rFonts w:hint="eastAsia"/>
            </w:rPr>
          </w:pPr>
          <w:r>
            <w:rPr>
              <w:rStyle w:val="3"/>
              <w:rFonts w:hint="eastAsia"/>
            </w:rPr>
            <w:t xml:space="preserve">填写预计获得学位年月  </w:t>
          </w:r>
        </w:p>
      </w:docPartBody>
    </w:docPart>
    <w:docPart>
      <w:docPartPr>
        <w:name w:val="{572f12ab-1eb0-4a42-96eb-4cc5c67c0201}"/>
        <w:style w:val=""/>
        <w:category>
          <w:name w:val="常规"/>
          <w:gallery w:val="placeholder"/>
        </w:category>
        <w:types>
          <w:type w:val="bbPlcHdr"/>
        </w:types>
        <w:behaviors>
          <w:behavior w:val="content"/>
        </w:behaviors>
        <w:description w:val=""/>
        <w:guid w:val="{572f12ab-1eb0-4a42-96eb-4cc5c67c0201}"/>
      </w:docPartPr>
      <w:docPartBody>
        <w:p w14:paraId="6A020379">
          <w:pPr>
            <w:pStyle w:val="14"/>
            <w:rPr>
              <w:rFonts w:hint="eastAsia"/>
            </w:rPr>
          </w:pPr>
          <w:r>
            <w:rPr>
              <w:rFonts w:hint="eastAsia"/>
              <w:sz w:val="44"/>
              <w:szCs w:val="44"/>
            </w:rPr>
            <w:t>英文题目，Times New Roman，22磅，居中</w:t>
          </w:r>
        </w:p>
      </w:docPartBody>
    </w:docPart>
    <w:docPart>
      <w:docPartPr>
        <w:name w:val="{00d56454-e802-4719-a384-845390af9788}"/>
        <w:style w:val=""/>
        <w:category>
          <w:name w:val="常规"/>
          <w:gallery w:val="placeholder"/>
        </w:category>
        <w:types>
          <w:type w:val="bbPlcHdr"/>
        </w:types>
        <w:behaviors>
          <w:behavior w:val="content"/>
        </w:behaviors>
        <w:description w:val=""/>
        <w:guid w:val="{00d56454-e802-4719-a384-845390af9788}"/>
      </w:docPartPr>
      <w:docPartBody>
        <w:p w14:paraId="596B9FB3">
          <w:pPr>
            <w:pStyle w:val="15"/>
            <w:rPr>
              <w:rFonts w:hint="eastAsia"/>
            </w:rPr>
          </w:pPr>
          <w:r>
            <w:rPr>
              <w:rStyle w:val="3"/>
              <w:rFonts w:hint="eastAsia"/>
            </w:rPr>
            <w:t>学院英文全称</w:t>
          </w:r>
        </w:p>
      </w:docPartBody>
    </w:docPart>
    <w:docPart>
      <w:docPartPr>
        <w:name w:val="{48ca4483-7937-48f2-95b1-67189fd3b6c4}"/>
        <w:style w:val=""/>
        <w:category>
          <w:name w:val="常规"/>
          <w:gallery w:val="placeholder"/>
        </w:category>
        <w:types>
          <w:type w:val="bbPlcHdr"/>
        </w:types>
        <w:behaviors>
          <w:behavior w:val="content"/>
        </w:behaviors>
        <w:description w:val=""/>
        <w:guid w:val="{48ca4483-7937-48f2-95b1-67189fd3b6c4}"/>
      </w:docPartPr>
      <w:docPartBody>
        <w:p w14:paraId="1C4C7556">
          <w:pPr>
            <w:pStyle w:val="16"/>
            <w:rPr>
              <w:rFonts w:hint="eastAsia"/>
            </w:rPr>
          </w:pPr>
          <w:r>
            <w:rPr>
              <w:rStyle w:val="3"/>
              <w:rFonts w:hint="eastAsia"/>
            </w:rPr>
            <w:t>专业名称英文</w:t>
          </w:r>
        </w:p>
      </w:docPartBody>
    </w:docPart>
    <w:docPart>
      <w:docPartPr>
        <w:name w:val="{77e4046d-1853-4b3e-89cc-3a3d67098aca}"/>
        <w:style w:val=""/>
        <w:category>
          <w:name w:val="常规"/>
          <w:gallery w:val="placeholder"/>
        </w:category>
        <w:types>
          <w:type w:val="bbPlcHdr"/>
        </w:types>
        <w:behaviors>
          <w:behavior w:val="content"/>
        </w:behaviors>
        <w:description w:val=""/>
        <w:guid w:val="{77e4046d-1853-4b3e-89cc-3a3d67098aca}"/>
      </w:docPartPr>
      <w:docPartBody>
        <w:p w14:paraId="1EDCD57B">
          <w:pPr>
            <w:pStyle w:val="17"/>
            <w:rPr>
              <w:rFonts w:hint="eastAsia"/>
            </w:rPr>
          </w:pPr>
          <w:r>
            <w:rPr>
              <w:rStyle w:val="3"/>
              <w:rFonts w:hint="eastAsia"/>
            </w:rPr>
            <w:t>导师职称、姓名英文</w:t>
          </w:r>
        </w:p>
      </w:docPartBody>
    </w:docPart>
    <w:docPart>
      <w:docPartPr>
        <w:name w:val="{0fe4b3bc-c794-47fa-aedb-31dd1e44bc35}"/>
        <w:style w:val=""/>
        <w:category>
          <w:name w:val="常规"/>
          <w:gallery w:val="placeholder"/>
        </w:category>
        <w:types>
          <w:type w:val="bbPlcHdr"/>
        </w:types>
        <w:behaviors>
          <w:behavior w:val="content"/>
        </w:behaviors>
        <w:description w:val=""/>
        <w:guid w:val="{0fe4b3bc-c794-47fa-aedb-31dd1e44bc35}"/>
      </w:docPartPr>
      <w:docPartBody>
        <w:p w14:paraId="6EB4D019">
          <w:pPr>
            <w:pStyle w:val="18"/>
            <w:rPr>
              <w:rFonts w:hint="eastAsia"/>
            </w:rPr>
          </w:pPr>
          <w:r>
            <w:rPr>
              <w:rStyle w:val="3"/>
              <w:rFonts w:hint="eastAsia"/>
            </w:rPr>
            <w:t>行业导师职称、姓名英文</w:t>
          </w:r>
        </w:p>
      </w:docPartBody>
    </w:docPart>
    <w:docPart>
      <w:docPartPr>
        <w:name w:val="{09d3f411-ccf3-46e9-8438-8595bb0048b5}"/>
        <w:style w:val=""/>
        <w:category>
          <w:name w:val="常规"/>
          <w:gallery w:val="placeholder"/>
        </w:category>
        <w:types>
          <w:type w:val="bbPlcHdr"/>
        </w:types>
        <w:behaviors>
          <w:behavior w:val="content"/>
        </w:behaviors>
        <w:description w:val=""/>
        <w:guid w:val="{09d3f411-ccf3-46e9-8438-8595bb0048b5}"/>
      </w:docPartPr>
      <w:docPartBody>
        <w:p w14:paraId="69C21815">
          <w:pPr>
            <w:pStyle w:val="19"/>
            <w:rPr>
              <w:rFonts w:hint="eastAsia"/>
            </w:rPr>
          </w:pPr>
          <w:r>
            <w:rPr>
              <w:rStyle w:val="3"/>
              <w:rFonts w:hint="eastAsia"/>
            </w:rPr>
            <w:t xml:space="preserve">    </w:t>
          </w:r>
        </w:p>
      </w:docPartBody>
    </w:docPart>
    <w:docPart>
      <w:docPartPr>
        <w:name w:val="{4bd4f5a2-b8ad-440b-96d6-6402ebc76282}"/>
        <w:style w:val=""/>
        <w:category>
          <w:name w:val="常规"/>
          <w:gallery w:val="placeholder"/>
        </w:category>
        <w:types>
          <w:type w:val="bbPlcHdr"/>
        </w:types>
        <w:behaviors>
          <w:behavior w:val="content"/>
        </w:behaviors>
        <w:description w:val=""/>
        <w:guid w:val="{4bd4f5a2-b8ad-440b-96d6-6402ebc76282}"/>
      </w:docPartPr>
      <w:docPartBody>
        <w:p w14:paraId="699C047C">
          <w:pPr>
            <w:pStyle w:val="20"/>
            <w:rPr>
              <w:rFonts w:hint="eastAsia"/>
            </w:rPr>
          </w:pPr>
          <w:r>
            <w:rPr>
              <w:rStyle w:val="3"/>
              <w:rFonts w:hint="eastAsia"/>
            </w:rPr>
            <w:t xml:space="preserve">    </w:t>
          </w:r>
        </w:p>
      </w:docPartBody>
    </w:docPart>
    <w:docPart>
      <w:docPartPr>
        <w:name w:val="{0ae73ff3-ce5a-43b5-a5fa-89111e7ba1ed}"/>
        <w:style w:val=""/>
        <w:category>
          <w:name w:val="常规"/>
          <w:gallery w:val="placeholder"/>
        </w:category>
        <w:types>
          <w:type w:val="bbPlcHdr"/>
        </w:types>
        <w:behaviors>
          <w:behavior w:val="content"/>
        </w:behaviors>
        <w:description w:val=""/>
        <w:guid w:val="{0ae73ff3-ce5a-43b5-a5fa-89111e7ba1ed}"/>
      </w:docPartPr>
      <w:docPartBody>
        <w:p w14:paraId="0F6B0718">
          <w:pPr>
            <w:pStyle w:val="21"/>
            <w:rPr>
              <w:rFonts w:hint="eastAsia"/>
            </w:rPr>
          </w:pPr>
          <w:r>
            <w:rPr>
              <w:rStyle w:val="3"/>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1" w:name="Default Paragraph Font"/>
    <w:lsdException w:qFormat="1" w:uiPriority="99" w:semiHidden="0" w:name="Placeholder Text"/>
  </w:latentStyles>
  <w:style w:type="character" w:default="1" w:styleId="1">
    <w:name w:val="Default Paragraph Font"/>
    <w:semiHidden/>
    <w:unhideWhenUsed/>
    <w:uiPriority w:val="1"/>
  </w:style>
  <w:style w:type="paragraph" w:customStyle="1" w:styleId="2">
    <w:name w:val="66F7FE6680634D9291343D667C965C80"/>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character" w:styleId="3">
    <w:name w:val="Placeholder Text"/>
    <w:basedOn w:val="1"/>
    <w:unhideWhenUsed/>
    <w:qFormat/>
    <w:uiPriority w:val="99"/>
    <w:rPr>
      <w:color w:val="666666"/>
    </w:rPr>
  </w:style>
  <w:style w:type="paragraph" w:customStyle="1" w:styleId="4">
    <w:name w:val="2B8784116F5F47C8BA9CA6D3F3FB7C9E"/>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5">
    <w:name w:val="E7A745A5C30840E4A111FDFBA5704284"/>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6">
    <w:name w:val="27AF43DA897644CEB54AD9953E40A49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7">
    <w:name w:val="4A25CBC59CCE49FEA0E88F2FB5C371D3"/>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8">
    <w:name w:val="2A8F74D1DDD847F9AB55CCD9DEAB530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9">
    <w:name w:val="28552A8D24B24216BDE4433452C0D98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0">
    <w:name w:val="32A2AF1104A54FD6AD5712B02BFE4785"/>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1">
    <w:name w:val="545B3CDD28FF4AA68EEE379B865141B8"/>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2">
    <w:name w:val="E99588620DA242FA9B05A1114A7303C6"/>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3">
    <w:name w:val="28E7D812F48A4DA6BBD751BEF2ADA9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4">
    <w:name w:val="7C17D3AA9F6B417A9CADC3C5506065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5">
    <w:name w:val="62108825769D4BA185BA271D11B90F7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6">
    <w:name w:val="5E44D27474B84E54A6B8C5D857D4723B"/>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7">
    <w:name w:val="33613B4224DE4D9592B50AB6E135916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8">
    <w:name w:val="5E5867E6872F4E54A356575D5BB682D0"/>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9">
    <w:name w:val="3770C30FAC4343D6A941DEC46D32FB6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0">
    <w:name w:val="735EFCE3C1104681B72EEFEE713A5DB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1">
    <w:name w:val="694F1BBA991B4DBFB50EA4E8B596D917"/>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6072</Words>
  <Characters>9455</Characters>
  <Lines>88</Lines>
  <Paragraphs>24</Paragraphs>
  <TotalTime>3</TotalTime>
  <ScaleCrop>false</ScaleCrop>
  <LinksUpToDate>false</LinksUpToDate>
  <CharactersWithSpaces>10947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2024-02-22T11:25:00Z</dcterms:created>
  <dc:creator>雨林木风</dc:creator>
  <cp:lastModifiedBy>涓涓细流</cp:lastModifiedBy>
  <cp:lastPrinted>2017-06-09T08:30:00Z</cp:lastPrinted>
  <dcterms:modified xsi:type="dcterms:W3CDTF">2026-03-11T08:15:57Z</dcterms:modified>
  <dc:title>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RubyTemplateID" linkTarget="0">
    <vt:lpwstr>6</vt:lpwstr>
  </property>
  <property fmtid="{D5CDD505-2E9C-101B-9397-08002B2CF9AE}" pid="4" name="ICV">
    <vt:lpwstr>F5A3497181A3437B8FB17F7A758D0641_13</vt:lpwstr>
  </property>
  <property fmtid="{D5CDD505-2E9C-101B-9397-08002B2CF9AE}" pid="5" name="KSOTemplateDocerSaveRecord">
    <vt:lpwstr>eyJoZGlkIjoiMzcxMjhmZTQ4ZmMzOTMxOGNlZGQyZGVlZTNhMTg0NzgiLCJ1c2VySWQiOiI0MjA0NjMyMjEifQ==</vt:lpwstr>
  </property>
</Properties>
</file>