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b/>
          <w:bCs/>
          <w:sz w:val="24"/>
          <w:szCs w:val="24"/>
        </w:rPr>
      </w:pPr>
      <w:bookmarkStart w:id="0" w:name="_Toc22149"/>
      <w:bookmarkStart w:id="1" w:name="_Toc15258"/>
      <w:r>
        <w:rPr>
          <w:rFonts w:hint="eastAsia" w:ascii="宋体" w:hAnsi="宋体" w:eastAsia="宋体" w:cs="宋体"/>
          <w:b/>
          <w:bCs/>
          <w:sz w:val="22"/>
          <w:szCs w:val="22"/>
        </w:rPr>
        <w:t>分类号</w:t>
      </w:r>
      <w:r>
        <w:rPr>
          <w:rFonts w:hint="eastAsia" w:ascii="宋体" w:hAnsi="宋体" w:eastAsia="宋体" w:cs="宋体"/>
          <w:b/>
          <w:bCs/>
          <w:sz w:val="24"/>
        </w:rPr>
        <w:t>：</w:t>
      </w:r>
      <w:r>
        <w:rPr>
          <w:rFonts w:hint="default" w:ascii="Times New Roman" w:hAnsi="Times New Roman" w:eastAsia="宋体" w:cs="Times New Roman"/>
          <w:b/>
          <w:bCs/>
          <w:sz w:val="24"/>
          <w:szCs w:val="24"/>
        </w:rPr>
        <w:t xml:space="preserve">XXX </w:t>
      </w:r>
      <w:r>
        <w:rPr>
          <w:rFonts w:hint="eastAsia" w:ascii="宋体" w:hAnsi="宋体" w:eastAsia="宋体" w:cs="宋体"/>
          <w:sz w:val="24"/>
        </w:rPr>
        <w:t xml:space="preserve">                                         </w:t>
      </w:r>
      <w:r>
        <w:rPr>
          <w:rFonts w:hint="eastAsia" w:ascii="宋体" w:hAnsi="宋体" w:eastAsia="宋体" w:cs="宋体"/>
          <w:b/>
          <w:bCs/>
          <w:sz w:val="22"/>
          <w:szCs w:val="22"/>
        </w:rPr>
        <w:t>授权学位单位代码:</w:t>
      </w:r>
      <w:r>
        <w:rPr>
          <w:rFonts w:hint="default" w:ascii="Times New Roman" w:hAnsi="Times New Roman" w:eastAsia="宋体" w:cs="Times New Roman"/>
          <w:b/>
          <w:bCs/>
          <w:sz w:val="24"/>
          <w:szCs w:val="24"/>
        </w:rPr>
        <w:t>10434</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b/>
          <w:bCs/>
          <w:sz w:val="24"/>
          <w:szCs w:val="24"/>
        </w:rPr>
      </w:pPr>
    </w:p>
    <w:p>
      <w:pPr>
        <w:jc w:val="center"/>
      </w:pPr>
      <w:r>
        <w:rPr>
          <w:rFonts w:hint="eastAsia" w:ascii="宋体" w:hAnsi="宋体" w:eastAsia="宋体" w:cs="宋体"/>
          <w:b/>
          <w:bCs/>
          <w:sz w:val="24"/>
        </w:rPr>
        <w:t xml:space="preserve">                                                    </w:t>
      </w:r>
      <w:r>
        <w:rPr>
          <w:rFonts w:hint="eastAsia" w:ascii="宋体" w:hAnsi="宋体" w:eastAsia="宋体" w:cs="宋体"/>
          <w:b/>
          <w:bCs/>
          <w:sz w:val="22"/>
          <w:szCs w:val="22"/>
        </w:rPr>
        <w:t>研究生学号:</w:t>
      </w:r>
      <w:r>
        <w:rPr>
          <w:rFonts w:hint="default" w:ascii="Times New Roman" w:hAnsi="Times New Roman" w:eastAsia="宋体" w:cs="Times New Roman"/>
          <w:b/>
          <w:bCs/>
          <w:sz w:val="24"/>
        </w:rPr>
        <w:t xml:space="preserve">2014110605 </w:t>
      </w:r>
      <w:r>
        <w:rPr>
          <w:rFonts w:hint="eastAsia" w:ascii="宋体" w:hAnsi="宋体" w:eastAsia="宋体" w:cs="宋体"/>
          <w:b/>
          <w:bCs/>
          <w:sz w:val="24"/>
        </w:rPr>
        <w:t xml:space="preserve">  </w:t>
      </w:r>
      <w:r>
        <w:rPr>
          <w:rFonts w:hint="eastAsia"/>
          <w:b/>
          <w:bCs/>
          <w:sz w:val="22"/>
        </w:rPr>
        <w:t xml:space="preserve">  </w:t>
      </w:r>
      <w:r>
        <w:rPr>
          <w:rFonts w:hint="eastAsia"/>
        </w:rPr>
        <w:t xml:space="preserve">                                                           </w:t>
      </w:r>
    </w:p>
    <w:p>
      <w:pPr>
        <w:jc w:val="right"/>
      </w:pPr>
    </w:p>
    <w:p>
      <w:pPr>
        <w:jc w:val="center"/>
        <w:rPr>
          <w:rFonts w:ascii="Times New Roman" w:hAnsi="Times New Roman" w:eastAsia="方正舒体" w:cs="Times New Roman"/>
          <w:b/>
          <w:bCs/>
          <w:w w:val="90"/>
          <w:sz w:val="20"/>
          <w:szCs w:val="20"/>
          <w:lang w:eastAsia="zh-TW"/>
        </w:rPr>
      </w:pPr>
    </w:p>
    <w:p>
      <w:pPr>
        <w:jc w:val="center"/>
        <w:rPr>
          <w:rFonts w:eastAsia="方正舒体"/>
          <w:b/>
          <w:bCs/>
          <w:w w:val="90"/>
          <w:sz w:val="84"/>
        </w:rPr>
      </w:pPr>
      <w:r>
        <w:rPr>
          <w:rFonts w:hint="eastAsia" w:eastAsia="方正舒体"/>
          <w:b/>
          <w:bCs/>
          <w:w w:val="90"/>
          <w:sz w:val="88"/>
          <w:szCs w:val="94"/>
          <w:lang w:eastAsia="zh-TW"/>
        </w:rPr>
        <w:t>山東農業大學</w:t>
      </w:r>
    </w:p>
    <w:p>
      <w:pPr>
        <w:jc w:val="center"/>
        <w:rPr>
          <w:rFonts w:ascii="Times New Roman" w:hAnsi="Times New Roman" w:eastAsia="方正舒体" w:cs="Times New Roman"/>
          <w:b/>
          <w:bCs/>
          <w:w w:val="90"/>
          <w:sz w:val="28"/>
          <w:szCs w:val="28"/>
          <w:lang w:val="en-GB"/>
        </w:rPr>
      </w:pPr>
    </w:p>
    <w:p>
      <w:pPr>
        <w:jc w:val="center"/>
        <w:rPr>
          <w:rFonts w:hint="eastAsia" w:ascii="Arial Black" w:hAnsi="Arial Black" w:eastAsia="黑体"/>
          <w:b/>
          <w:bCs/>
          <w:spacing w:val="23"/>
          <w:w w:val="80"/>
          <w:sz w:val="86"/>
          <w:szCs w:val="94"/>
          <w:lang w:val="en-GB"/>
        </w:rPr>
      </w:pPr>
      <w:r>
        <w:rPr>
          <w:rFonts w:hint="eastAsia" w:ascii="Arial Black" w:hAnsi="Arial Black" w:eastAsia="黑体"/>
          <w:b/>
          <w:bCs/>
          <w:spacing w:val="23"/>
          <w:w w:val="80"/>
          <w:sz w:val="86"/>
          <w:szCs w:val="94"/>
          <w:lang w:val="en-US" w:eastAsia="zh-CN"/>
        </w:rPr>
        <w:t>全日制</w:t>
      </w:r>
      <w:r>
        <w:rPr>
          <w:rFonts w:hint="eastAsia" w:ascii="Arial Black" w:hAnsi="Arial Black" w:eastAsia="黑体"/>
          <w:b/>
          <w:bCs/>
          <w:spacing w:val="23"/>
          <w:w w:val="80"/>
          <w:sz w:val="86"/>
          <w:szCs w:val="94"/>
          <w:lang w:val="en-GB"/>
        </w:rPr>
        <w:t>硕士</w:t>
      </w:r>
      <w:r>
        <w:rPr>
          <w:rFonts w:hint="eastAsia" w:ascii="Arial Black" w:hAnsi="Arial Black" w:eastAsia="黑体"/>
          <w:b/>
          <w:bCs/>
          <w:spacing w:val="23"/>
          <w:w w:val="80"/>
          <w:sz w:val="86"/>
          <w:szCs w:val="94"/>
          <w:lang w:val="en-US" w:eastAsia="zh-CN"/>
        </w:rPr>
        <w:t>专业</w:t>
      </w:r>
      <w:r>
        <w:rPr>
          <w:rFonts w:hint="eastAsia" w:ascii="Arial Black" w:hAnsi="Arial Black" w:eastAsia="黑体"/>
          <w:b/>
          <w:bCs/>
          <w:spacing w:val="23"/>
          <w:w w:val="80"/>
          <w:sz w:val="86"/>
          <w:szCs w:val="94"/>
          <w:lang w:val="en-GB"/>
        </w:rPr>
        <w:t>学位论文</w:t>
      </w:r>
    </w:p>
    <w:p>
      <w:pPr>
        <w:spacing w:line="600" w:lineRule="exact"/>
        <w:jc w:val="center"/>
        <w:rPr>
          <w:rFonts w:ascii="黑体" w:eastAsia="黑体"/>
          <w:b/>
          <w:bCs/>
          <w:spacing w:val="-8"/>
          <w:sz w:val="84"/>
          <w:szCs w:val="84"/>
        </w:rPr>
      </w:pPr>
    </w:p>
    <w:p>
      <w:pPr>
        <w:spacing w:line="600" w:lineRule="exact"/>
        <w:jc w:val="center"/>
        <w:rPr>
          <w:rFonts w:ascii="黑体" w:eastAsia="黑体"/>
          <w:b/>
          <w:bCs/>
          <w:spacing w:val="-8"/>
          <w:sz w:val="32"/>
          <w:szCs w:val="32"/>
        </w:rPr>
      </w:pPr>
      <w:r>
        <w:rPr>
          <w:rFonts w:hint="eastAsia" w:ascii="黑体" w:eastAsia="黑体"/>
          <w:b/>
          <w:bCs/>
          <w:spacing w:val="-8"/>
          <w:sz w:val="32"/>
          <w:szCs w:val="32"/>
        </w:rPr>
        <w:t>我国农产品地理标志保护研究</w:t>
      </w:r>
    </w:p>
    <w:p>
      <w:pPr>
        <w:spacing w:line="600" w:lineRule="exact"/>
        <w:jc w:val="center"/>
        <w:rPr>
          <w:rFonts w:ascii="宋体" w:hAnsi="宋体" w:eastAsia="宋体" w:cs="宋体"/>
          <w:b/>
          <w:bCs/>
          <w:spacing w:val="-8"/>
          <w:sz w:val="36"/>
          <w:szCs w:val="36"/>
        </w:rPr>
      </w:pPr>
      <w:r>
        <w:rPr>
          <w:rFonts w:hint="eastAsia" w:ascii="黑体" w:eastAsia="黑体"/>
          <w:b/>
          <w:bCs/>
          <w:spacing w:val="-8"/>
          <w:sz w:val="32"/>
          <w:szCs w:val="32"/>
        </w:rPr>
        <w:t xml:space="preserve">                  ——以非政府组织为视角</w:t>
      </w:r>
    </w:p>
    <w:p>
      <w:pPr>
        <w:jc w:val="center"/>
        <w:rPr>
          <w:rFonts w:ascii="Times New Roman" w:hAnsi="Times New Roman" w:eastAsia="黑体" w:cs="Times New Roman"/>
          <w:b/>
          <w:bCs/>
          <w:spacing w:val="-8"/>
          <w:sz w:val="32"/>
          <w:szCs w:val="32"/>
        </w:rPr>
      </w:pPr>
      <w:r>
        <w:rPr>
          <w:rFonts w:ascii="Times New Roman" w:hAnsi="Times New Roman" w:eastAsia="黑体" w:cs="Times New Roman"/>
          <w:b/>
          <w:bCs/>
          <w:spacing w:val="-8"/>
          <w:sz w:val="32"/>
          <w:szCs w:val="32"/>
        </w:rPr>
        <w:t xml:space="preserve">Study on the Protection of Geographical Indications of </w:t>
      </w:r>
    </w:p>
    <w:p>
      <w:pPr>
        <w:jc w:val="center"/>
        <w:rPr>
          <w:rFonts w:ascii="Times New Roman" w:hAnsi="Times New Roman" w:eastAsia="黑体" w:cs="Times New Roman"/>
          <w:b/>
          <w:bCs/>
          <w:spacing w:val="-8"/>
          <w:sz w:val="32"/>
          <w:szCs w:val="32"/>
        </w:rPr>
      </w:pPr>
      <w:r>
        <w:rPr>
          <w:rFonts w:ascii="Times New Roman" w:hAnsi="Times New Roman" w:eastAsia="黑体" w:cs="Times New Roman"/>
          <w:b/>
          <w:bCs/>
          <w:spacing w:val="-8"/>
          <w:sz w:val="32"/>
          <w:szCs w:val="32"/>
        </w:rPr>
        <w:t>Agricultural Products in China</w:t>
      </w:r>
    </w:p>
    <w:p>
      <w:pPr>
        <w:jc w:val="center"/>
        <w:rPr>
          <w:b/>
          <w:bCs/>
          <w:sz w:val="32"/>
          <w:szCs w:val="32"/>
        </w:rPr>
      </w:pPr>
      <w:r>
        <w:rPr>
          <w:rFonts w:hint="eastAsia" w:ascii="Times New Roman" w:hAnsi="Times New Roman" w:cs="Times New Roman"/>
          <w:b/>
          <w:bCs/>
          <w:sz w:val="32"/>
          <w:szCs w:val="32"/>
        </w:rPr>
        <w:t xml:space="preserve">                         </w:t>
      </w:r>
      <w:r>
        <w:rPr>
          <w:rFonts w:ascii="Times New Roman" w:hAnsi="Times New Roman" w:cs="Times New Roman"/>
          <w:b/>
          <w:bCs/>
          <w:sz w:val="32"/>
          <w:szCs w:val="32"/>
        </w:rPr>
        <w:t xml:space="preserve">——From the </w:t>
      </w:r>
      <w:r>
        <w:rPr>
          <w:rFonts w:hint="eastAsia" w:ascii="Times New Roman" w:hAnsi="Times New Roman" w:cs="Times New Roman"/>
          <w:b/>
          <w:bCs/>
          <w:sz w:val="32"/>
          <w:szCs w:val="32"/>
        </w:rPr>
        <w:t>P</w:t>
      </w:r>
      <w:r>
        <w:rPr>
          <w:rFonts w:ascii="Times New Roman" w:hAnsi="Times New Roman" w:cs="Times New Roman"/>
          <w:b/>
          <w:bCs/>
          <w:sz w:val="32"/>
          <w:szCs w:val="32"/>
        </w:rPr>
        <w:t xml:space="preserve">erspective of </w:t>
      </w:r>
      <w:r>
        <w:rPr>
          <w:rFonts w:hint="eastAsia" w:ascii="Times New Roman" w:hAnsi="Times New Roman" w:cs="Times New Roman"/>
          <w:b/>
          <w:bCs/>
          <w:sz w:val="32"/>
          <w:szCs w:val="32"/>
        </w:rPr>
        <w:t>NGO</w:t>
      </w:r>
    </w:p>
    <w:p>
      <w:pPr>
        <w:ind w:left="3570" w:hanging="3570" w:hangingChars="1700"/>
        <w:jc w:val="center"/>
      </w:pPr>
    </w:p>
    <w:tbl>
      <w:tblPr>
        <w:tblStyle w:val="22"/>
        <w:tblpPr w:leftFromText="180" w:rightFromText="180" w:vertAnchor="text" w:horzAnchor="page" w:tblpXSpec="center" w:tblpY="109"/>
        <w:tblW w:w="5516" w:type="dxa"/>
        <w:jc w:val="center"/>
        <w:tblLayout w:type="fixed"/>
        <w:tblCellMar>
          <w:top w:w="0" w:type="dxa"/>
          <w:left w:w="108" w:type="dxa"/>
          <w:bottom w:w="0" w:type="dxa"/>
          <w:right w:w="108" w:type="dxa"/>
        </w:tblCellMar>
      </w:tblPr>
      <w:tblGrid>
        <w:gridCol w:w="1800"/>
        <w:gridCol w:w="400"/>
        <w:gridCol w:w="3316"/>
      </w:tblGrid>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研究生</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朱牧</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学科专业</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社会管理与政府法治</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研究方向</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地方政府法治建设</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学院</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公共管理学院</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指导教师</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李春华</w:t>
            </w:r>
            <w:r>
              <w:rPr>
                <w:rFonts w:hint="eastAsia" w:ascii="楷体" w:hAnsi="楷体" w:eastAsia="楷体" w:cs="楷体"/>
                <w:b/>
                <w:bCs/>
                <w:sz w:val="28"/>
                <w:szCs w:val="28"/>
                <w:lang w:val="en-US" w:eastAsia="zh-CN"/>
              </w:rPr>
              <w:t xml:space="preserve"> </w:t>
            </w:r>
            <w:r>
              <w:rPr>
                <w:rFonts w:hint="eastAsia" w:ascii="楷体" w:hAnsi="楷体" w:eastAsia="楷体" w:cs="楷体"/>
                <w:b/>
                <w:bCs/>
                <w:sz w:val="28"/>
                <w:szCs w:val="28"/>
              </w:rPr>
              <w:t>教授</w:t>
            </w:r>
          </w:p>
        </w:tc>
      </w:tr>
    </w:tbl>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rPr>
          <w:rFonts w:ascii="黑体" w:hAnsi="黑体" w:eastAsia="黑体" w:cs="黑体"/>
          <w:b/>
          <w:bCs/>
          <w:sz w:val="28"/>
        </w:rPr>
      </w:pPr>
    </w:p>
    <w:p>
      <w:pPr>
        <w:jc w:val="center"/>
        <w:rPr>
          <w:rFonts w:hint="eastAsia" w:asciiTheme="minorEastAsia" w:hAnsiTheme="minorEastAsia" w:eastAsiaTheme="minorEastAsia" w:cstheme="minorEastAsia"/>
          <w:kern w:val="0"/>
          <w:sz w:val="28"/>
          <w:szCs w:val="28"/>
        </w:rPr>
      </w:pPr>
      <w:r>
        <w:rPr>
          <w:rFonts w:hint="eastAsia" w:ascii="楷体" w:hAnsi="楷体" w:eastAsia="楷体" w:cs="楷体"/>
          <w:sz w:val="28"/>
          <w:szCs w:val="28"/>
        </w:rPr>
        <w:t>2017</w:t>
      </w:r>
      <w:r>
        <w:rPr>
          <w:rFonts w:hint="eastAsia" w:asciiTheme="minorEastAsia" w:hAnsiTheme="minorEastAsia" w:eastAsiaTheme="minorEastAsia" w:cstheme="minorEastAsia"/>
          <w:sz w:val="28"/>
          <w:szCs w:val="28"/>
        </w:rPr>
        <w:t>年</w:t>
      </w:r>
      <w:r>
        <w:rPr>
          <w:rFonts w:hint="eastAsia" w:ascii="黑体" w:hAnsi="黑体" w:eastAsia="黑体" w:cs="黑体"/>
          <w:sz w:val="28"/>
          <w:szCs w:val="28"/>
        </w:rPr>
        <w:t xml:space="preserve"> </w:t>
      </w:r>
      <w:r>
        <w:rPr>
          <w:rFonts w:hint="eastAsia" w:ascii="楷体" w:hAnsi="楷体" w:eastAsia="楷体" w:cs="楷体"/>
          <w:sz w:val="28"/>
          <w:szCs w:val="28"/>
        </w:rPr>
        <w:t>5</w:t>
      </w:r>
      <w:r>
        <w:rPr>
          <w:rFonts w:hint="eastAsia" w:asciiTheme="minorEastAsia" w:hAnsiTheme="minorEastAsia" w:eastAsiaTheme="minorEastAsia" w:cstheme="minorEastAsia"/>
          <w:sz w:val="28"/>
          <w:szCs w:val="28"/>
        </w:rPr>
        <w:t>月</w:t>
      </w:r>
      <w:r>
        <w:rPr>
          <w:rFonts w:hint="eastAsia" w:ascii="黑体" w:hAnsi="黑体" w:eastAsia="黑体" w:cs="黑体"/>
          <w:sz w:val="28"/>
          <w:szCs w:val="28"/>
        </w:rPr>
        <w:t xml:space="preserve"> </w:t>
      </w:r>
      <w:r>
        <w:rPr>
          <w:rFonts w:hint="eastAsia" w:ascii="楷体" w:hAnsi="楷体" w:eastAsia="楷体" w:cs="楷体"/>
          <w:sz w:val="28"/>
          <w:szCs w:val="28"/>
        </w:rPr>
        <w:t>20</w:t>
      </w:r>
      <w:r>
        <w:rPr>
          <w:rFonts w:hint="eastAsia" w:asciiTheme="minorEastAsia" w:hAnsiTheme="minorEastAsia" w:eastAsiaTheme="minorEastAsia" w:cstheme="minorEastAsia"/>
          <w:sz w:val="28"/>
          <w:szCs w:val="28"/>
        </w:rPr>
        <w:t>日</w:t>
      </w: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论 文 提 交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论 文 答 辩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学 位 授 予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学   位   类   别：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答 辩 委 员会主席：</w:t>
      </w:r>
      <w:r>
        <w:rPr>
          <w:rFonts w:hint="eastAsia"/>
          <w:sz w:val="28"/>
          <w:szCs w:val="28"/>
        </w:rPr>
        <w:t xml:space="preserve"> </w:t>
      </w:r>
      <w:r>
        <w:rPr>
          <w:rFonts w:hint="eastAsia" w:ascii="宋体" w:hAnsi="宋体"/>
          <w:sz w:val="28"/>
          <w:szCs w:val="28"/>
          <w:u w:val="single"/>
        </w:rPr>
        <w:t xml:space="preserve">                      </w:t>
      </w:r>
    </w:p>
    <w:p>
      <w:pPr>
        <w:wordWrap w:val="0"/>
        <w:overflowPunct w:val="0"/>
        <w:spacing w:line="480" w:lineRule="auto"/>
        <w:ind w:firstLine="2055" w:firstLineChars="571"/>
        <w:rPr>
          <w:rFonts w:eastAsia="黑体"/>
          <w:kern w:val="0"/>
          <w:sz w:val="36"/>
          <w:szCs w:val="20"/>
          <w:lang w:val="en-GB"/>
        </w:rPr>
      </w:pPr>
      <w:r>
        <w:rPr>
          <w:rFonts w:hint="eastAsia" w:eastAsia="黑体"/>
          <w:kern w:val="0"/>
          <w:sz w:val="36"/>
          <w:szCs w:val="20"/>
          <w:lang w:val="en-GB"/>
        </w:rPr>
        <w:br w:type="page"/>
      </w:r>
    </w:p>
    <w:p>
      <w:pPr>
        <w:wordWrap w:val="0"/>
        <w:overflowPunct w:val="0"/>
        <w:spacing w:before="318" w:beforeLines="100" w:after="318" w:afterLines="100" w:line="480" w:lineRule="auto"/>
        <w:rPr>
          <w:rFonts w:hint="eastAsia" w:eastAsia="黑体"/>
          <w:kern w:val="0"/>
          <w:sz w:val="36"/>
          <w:szCs w:val="36"/>
          <w:lang w:val="en-GB"/>
        </w:rPr>
      </w:pPr>
      <w:r>
        <w:rPr>
          <w:rFonts w:hint="eastAsia" w:eastAsia="黑体"/>
          <w:kern w:val="0"/>
          <w:sz w:val="36"/>
          <w:szCs w:val="20"/>
        </w:rPr>
        <w:t xml:space="preserve">        </w:t>
      </w:r>
      <w:r>
        <w:rPr>
          <w:rFonts w:hint="eastAsia" w:eastAsia="黑体"/>
          <w:kern w:val="0"/>
          <w:sz w:val="36"/>
          <w:szCs w:val="36"/>
          <w:lang w:val="en-GB"/>
        </w:rPr>
        <w:t>关于学位论文原创性和使用授权的声明</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本人所呈交的学位论文，是在导师指导下，独立进行科学研究所取得的成果。对在论文研究期间给予指导、帮助和做出重要贡献的个人或集体，均在文中明确说明。本声明的法律责任由本人承担。</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 xml:space="preserve">本人完全了解山东农业大学有关保留和使用学位论文的规定，同意学校保留和按要求向国家有关部门或机构送交论文纸质本和电子版，允许论文被查阅和借阅。本人授权山东农业大学可以将本学位论文的全部或部分内容编入有关数据库进行检索，可以采用影印、缩印或其他复制手段保存论文和汇编本学位论文，同时授权中国科学技术信息研究所将本学位论文收录到《中国学位论文全文数据库》，并向社会公众提供信息服务。   </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保密论文在解密后应遵守此规定。</w:t>
      </w:r>
    </w:p>
    <w:p>
      <w:pPr>
        <w:spacing w:before="120" w:line="480" w:lineRule="auto"/>
        <w:ind w:firstLine="560"/>
        <w:rPr>
          <w:sz w:val="28"/>
        </w:rPr>
      </w:pPr>
    </w:p>
    <w:p>
      <w:pPr>
        <w:spacing w:before="120" w:line="480" w:lineRule="auto"/>
        <w:ind w:firstLine="560"/>
        <w:rPr>
          <w:sz w:val="28"/>
        </w:rPr>
      </w:pPr>
    </w:p>
    <w:p>
      <w:pPr>
        <w:tabs>
          <w:tab w:val="right" w:pos="8306"/>
        </w:tabs>
        <w:spacing w:before="120" w:line="480" w:lineRule="auto"/>
        <w:ind w:firstLine="3000" w:firstLineChars="1000"/>
        <w:rPr>
          <w:sz w:val="30"/>
          <w:u w:val="single"/>
        </w:rPr>
      </w:pPr>
      <w:r>
        <w:rPr>
          <w:rFonts w:hint="eastAsia"/>
          <w:sz w:val="30"/>
        </w:rPr>
        <w:t>论文作者签名：</w:t>
      </w:r>
      <w:r>
        <w:rPr>
          <w:sz w:val="30"/>
          <w:u w:val="single"/>
        </w:rPr>
        <w:t xml:space="preserve">                 </w:t>
      </w:r>
    </w:p>
    <w:p>
      <w:pPr>
        <w:spacing w:before="120" w:line="480" w:lineRule="auto"/>
        <w:ind w:firstLine="3000" w:firstLineChars="1000"/>
        <w:rPr>
          <w:sz w:val="30"/>
        </w:rPr>
      </w:pPr>
      <w:r>
        <w:rPr>
          <w:rFonts w:hint="eastAsia"/>
          <w:sz w:val="30"/>
        </w:rPr>
        <w:t>导 师  签 名：</w:t>
      </w:r>
      <w:r>
        <w:rPr>
          <w:sz w:val="30"/>
          <w:u w:val="single"/>
        </w:rPr>
        <w:t xml:space="preserve">                 </w:t>
      </w:r>
    </w:p>
    <w:p>
      <w:pPr>
        <w:spacing w:before="120" w:line="480" w:lineRule="auto"/>
        <w:ind w:firstLine="3000" w:firstLineChars="1000"/>
        <w:rPr>
          <w:sz w:val="30"/>
          <w:u w:val="single"/>
        </w:rPr>
      </w:pPr>
      <w:r>
        <w:rPr>
          <w:rFonts w:hint="eastAsia"/>
          <w:sz w:val="30"/>
        </w:rPr>
        <w:t>日        期：</w:t>
      </w:r>
      <w:r>
        <w:rPr>
          <w:sz w:val="30"/>
          <w:u w:val="single"/>
        </w:rPr>
        <w:t xml:space="preserve">                 </w:t>
      </w:r>
    </w:p>
    <w:p>
      <w:pPr>
        <w:pStyle w:val="15"/>
        <w:tabs>
          <w:tab w:val="right" w:leader="dot" w:pos="8306"/>
        </w:tabs>
        <w:spacing w:line="440" w:lineRule="exact"/>
        <w:jc w:val="center"/>
        <w:rPr>
          <w:rFonts w:ascii="宋体" w:hAnsi="宋体" w:eastAsia="宋体" w:cs="宋体"/>
          <w:b/>
          <w:bCs/>
          <w:sz w:val="24"/>
        </w:rPr>
        <w:sectPr>
          <w:headerReference r:id="rId6" w:type="first"/>
          <w:footerReference r:id="rId9" w:type="first"/>
          <w:headerReference r:id="rId4" w:type="default"/>
          <w:footerReference r:id="rId7" w:type="default"/>
          <w:headerReference r:id="rId5" w:type="even"/>
          <w:footerReference r:id="rId8" w:type="even"/>
          <w:pgSz w:w="11906" w:h="16838"/>
          <w:pgMar w:top="1417" w:right="1417" w:bottom="1417" w:left="1417" w:header="720" w:footer="720" w:gutter="0"/>
          <w:pgNumType w:fmt="upperRoman" w:start="1"/>
          <w:cols w:space="0" w:num="1"/>
          <w:titlePg/>
          <w:docGrid w:type="lines" w:linePitch="318" w:charSpace="0"/>
        </w:sectPr>
      </w:pPr>
      <w:bookmarkStart w:id="2" w:name="_Toc11958"/>
      <w:bookmarkStart w:id="3" w:name="_Toc25076"/>
      <w:bookmarkStart w:id="4" w:name="_Toc4768"/>
      <w:bookmarkStart w:id="5" w:name="_Toc2572"/>
      <w:bookmarkStart w:id="6" w:name="_Toc10653"/>
      <w:bookmarkStart w:id="7" w:name="_Toc15247"/>
      <w:bookmarkStart w:id="8" w:name="_Toc16852"/>
    </w:p>
    <w:p>
      <w:pPr>
        <w:pStyle w:val="15"/>
        <w:tabs>
          <w:tab w:val="right" w:leader="dot" w:pos="8306"/>
        </w:tabs>
        <w:spacing w:line="440" w:lineRule="exact"/>
        <w:jc w:val="center"/>
        <w:rPr>
          <w:rFonts w:ascii="黑体" w:hAnsi="黑体" w:eastAsia="黑体" w:cs="黑体"/>
          <w:sz w:val="32"/>
          <w:szCs w:val="32"/>
        </w:rPr>
      </w:pPr>
      <w:r>
        <w:rPr>
          <w:rFonts w:hint="eastAsia" w:ascii="黑体" w:hAnsi="黑体" w:eastAsia="黑体" w:cs="黑体"/>
          <w:sz w:val="32"/>
          <w:szCs w:val="32"/>
        </w:rPr>
        <w:t>目录</w:t>
      </w:r>
    </w:p>
    <w:p>
      <w:pPr>
        <w:pStyle w:val="15"/>
        <w:tabs>
          <w:tab w:val="right" w:leader="dot" w:pos="9072"/>
        </w:tabs>
        <w:spacing w:line="440" w:lineRule="exact"/>
        <w:rPr>
          <w:rFonts w:ascii="宋体" w:hAnsi="宋体" w:eastAsia="宋体" w:cs="宋体"/>
          <w:b/>
          <w:bCs/>
          <w:sz w:val="24"/>
          <w:szCs w:val="32"/>
        </w:rPr>
      </w:pPr>
      <w:r>
        <w:rPr>
          <w:rFonts w:hint="eastAsia" w:ascii="宋体" w:hAnsi="宋体" w:eastAsia="宋体" w:cs="宋体"/>
          <w:color w:val="0000FF"/>
          <w:sz w:val="24"/>
          <w:lang w:val="zh-CN"/>
        </w:rPr>
        <w:fldChar w:fldCharType="begin"/>
      </w:r>
      <w:r>
        <w:rPr>
          <w:rFonts w:hint="eastAsia" w:ascii="宋体" w:hAnsi="宋体" w:eastAsia="宋体" w:cs="宋体"/>
          <w:color w:val="0000FF"/>
          <w:sz w:val="24"/>
          <w:lang w:val="zh-CN"/>
        </w:rPr>
        <w:instrText xml:space="preserve">TOC \o "1-3" \h \u </w:instrText>
      </w:r>
      <w:r>
        <w:rPr>
          <w:rFonts w:hint="eastAsia" w:ascii="宋体" w:hAnsi="宋体" w:eastAsia="宋体" w:cs="宋体"/>
          <w:color w:val="0000FF"/>
          <w:sz w:val="24"/>
          <w:lang w:val="zh-CN"/>
        </w:rPr>
        <w:fldChar w:fldCharType="separate"/>
      </w:r>
      <w:r>
        <w:fldChar w:fldCharType="begin"/>
      </w:r>
      <w:r>
        <w:instrText xml:space="preserve"> HYPERLINK \l "_Toc28532" </w:instrText>
      </w:r>
      <w:r>
        <w:fldChar w:fldCharType="separate"/>
      </w:r>
      <w:r>
        <w:rPr>
          <w:rFonts w:hint="eastAsia" w:ascii="宋体" w:hAnsi="宋体" w:eastAsia="宋体" w:cs="宋体"/>
          <w:b/>
          <w:bCs/>
          <w:sz w:val="24"/>
          <w:szCs w:val="36"/>
          <w:lang w:val="zh-CN"/>
        </w:rPr>
        <w:t>摘要</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_Toc28532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IV</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"_Toc9098" </w:instrText>
      </w:r>
      <w:r>
        <w:fldChar w:fldCharType="separate"/>
      </w:r>
      <w:r>
        <w:rPr>
          <w:rFonts w:hint="eastAsia" w:ascii="宋体" w:hAnsi="宋体" w:eastAsia="宋体" w:cs="宋体"/>
          <w:b/>
          <w:bCs/>
          <w:sz w:val="24"/>
          <w:szCs w:val="36"/>
        </w:rPr>
        <w:t>Abstract</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_Toc9098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VI</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"_Toc24305" </w:instrText>
      </w:r>
      <w:r>
        <w:fldChar w:fldCharType="separate"/>
      </w:r>
      <w:r>
        <w:rPr>
          <w:rFonts w:hint="eastAsia" w:ascii="宋体" w:hAnsi="宋体" w:eastAsia="宋体" w:cs="宋体"/>
          <w:b/>
          <w:bCs/>
          <w:sz w:val="24"/>
          <w:szCs w:val="40"/>
        </w:rPr>
        <w:t>1 绪论</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_Toc24305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1</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"_Toc3827" </w:instrText>
      </w:r>
      <w:r>
        <w:fldChar w:fldCharType="separate"/>
      </w:r>
      <w:r>
        <w:rPr>
          <w:rFonts w:hint="eastAsia" w:ascii="宋体" w:hAnsi="宋体" w:eastAsia="宋体" w:cs="宋体"/>
          <w:bCs/>
          <w:sz w:val="24"/>
          <w:szCs w:val="36"/>
        </w:rPr>
        <w:t>1.1 选题背景及研究意义</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_Toc3827 </w:instrText>
      </w:r>
      <w:r>
        <w:rPr>
          <w:rFonts w:hint="eastAsia" w:ascii="宋体" w:hAnsi="宋体" w:eastAsia="宋体" w:cs="宋体"/>
          <w:sz w:val="24"/>
          <w:szCs w:val="32"/>
        </w:rPr>
        <w:fldChar w:fldCharType="separate"/>
      </w:r>
      <w:r>
        <w:rPr>
          <w:rFonts w:hint="eastAsia" w:ascii="宋体" w:hAnsi="宋体" w:eastAsia="宋体" w:cs="宋体"/>
          <w:sz w:val="24"/>
          <w:szCs w:val="32"/>
        </w:rPr>
        <w:t>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"_Toc23740" </w:instrText>
      </w:r>
      <w:r>
        <w:fldChar w:fldCharType="separate"/>
      </w:r>
      <w:r>
        <w:rPr>
          <w:rFonts w:hint="eastAsia" w:ascii="宋体" w:hAnsi="宋体" w:eastAsia="宋体" w:cs="宋体"/>
          <w:sz w:val="24"/>
          <w:szCs w:val="32"/>
        </w:rPr>
        <w:t>1.1.1 选题背景</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_Toc23740 </w:instrText>
      </w:r>
      <w:r>
        <w:rPr>
          <w:rFonts w:hint="eastAsia" w:ascii="宋体" w:hAnsi="宋体" w:eastAsia="宋体" w:cs="宋体"/>
          <w:sz w:val="24"/>
          <w:szCs w:val="32"/>
        </w:rPr>
        <w:fldChar w:fldCharType="separate"/>
      </w:r>
      <w:r>
        <w:rPr>
          <w:rFonts w:hint="eastAsia" w:ascii="宋体" w:hAnsi="宋体" w:eastAsia="宋体" w:cs="宋体"/>
          <w:sz w:val="24"/>
          <w:szCs w:val="32"/>
        </w:rPr>
        <w:t>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"_Toc3242" </w:instrText>
      </w:r>
      <w:r>
        <w:fldChar w:fldCharType="separate"/>
      </w:r>
      <w:r>
        <w:rPr>
          <w:rFonts w:hint="eastAsia" w:ascii="宋体" w:hAnsi="宋体" w:eastAsia="宋体" w:cs="宋体"/>
          <w:sz w:val="24"/>
          <w:szCs w:val="32"/>
        </w:rPr>
        <w:t>1.1.2 研究意义</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_Toc3242 </w:instrText>
      </w:r>
      <w:r>
        <w:rPr>
          <w:rFonts w:hint="eastAsia" w:ascii="宋体" w:hAnsi="宋体" w:eastAsia="宋体" w:cs="宋体"/>
          <w:sz w:val="24"/>
          <w:szCs w:val="32"/>
        </w:rPr>
        <w:fldChar w:fldCharType="separate"/>
      </w:r>
      <w:r>
        <w:rPr>
          <w:rFonts w:hint="eastAsia" w:ascii="宋体" w:hAnsi="宋体" w:eastAsia="宋体" w:cs="宋体"/>
          <w:sz w:val="24"/>
          <w:szCs w:val="32"/>
        </w:rPr>
        <w:t>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"_Toc22771" </w:instrText>
      </w:r>
      <w:r>
        <w:fldChar w:fldCharType="separate"/>
      </w:r>
      <w:r>
        <w:rPr>
          <w:rFonts w:hint="eastAsia" w:ascii="宋体" w:hAnsi="宋体" w:eastAsia="宋体" w:cs="宋体"/>
          <w:bCs/>
          <w:sz w:val="24"/>
          <w:szCs w:val="36"/>
        </w:rPr>
        <w:t>1.2 国内外研究现状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_Toc22771 </w:instrText>
      </w:r>
      <w:r>
        <w:rPr>
          <w:rFonts w:hint="eastAsia" w:ascii="宋体" w:hAnsi="宋体" w:eastAsia="宋体" w:cs="宋体"/>
          <w:sz w:val="24"/>
          <w:szCs w:val="32"/>
        </w:rPr>
        <w:fldChar w:fldCharType="separate"/>
      </w:r>
      <w:r>
        <w:rPr>
          <w:rFonts w:hint="eastAsia" w:ascii="宋体" w:hAnsi="宋体" w:eastAsia="宋体" w:cs="宋体"/>
          <w:sz w:val="24"/>
          <w:szCs w:val="32"/>
        </w:rPr>
        <w:t>3</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"_Toc10252" </w:instrText>
      </w:r>
      <w:r>
        <w:fldChar w:fldCharType="separate"/>
      </w:r>
      <w:r>
        <w:rPr>
          <w:rFonts w:hint="eastAsia" w:ascii="宋体" w:hAnsi="宋体" w:eastAsia="宋体" w:cs="宋体"/>
          <w:sz w:val="24"/>
          <w:szCs w:val="32"/>
        </w:rPr>
        <w:t>1.2.1 国外相关研究现状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_Toc10252 </w:instrText>
      </w:r>
      <w:r>
        <w:rPr>
          <w:rFonts w:hint="eastAsia" w:ascii="宋体" w:hAnsi="宋体" w:eastAsia="宋体" w:cs="宋体"/>
          <w:sz w:val="24"/>
          <w:szCs w:val="32"/>
        </w:rPr>
        <w:fldChar w:fldCharType="separate"/>
      </w:r>
      <w:r>
        <w:rPr>
          <w:rFonts w:hint="eastAsia" w:ascii="宋体" w:hAnsi="宋体" w:eastAsia="宋体" w:cs="宋体"/>
          <w:sz w:val="24"/>
          <w:szCs w:val="32"/>
        </w:rPr>
        <w:t>3</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"_Toc1624" </w:instrText>
      </w:r>
      <w:r>
        <w:fldChar w:fldCharType="separate"/>
      </w:r>
      <w:r>
        <w:rPr>
          <w:rFonts w:hint="eastAsia" w:ascii="宋体" w:hAnsi="宋体" w:eastAsia="宋体" w:cs="宋体"/>
          <w:sz w:val="24"/>
          <w:szCs w:val="32"/>
        </w:rPr>
        <w:t>1.2.2 国内相关研究现状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_Toc1624 </w:instrText>
      </w:r>
      <w:r>
        <w:rPr>
          <w:rFonts w:hint="eastAsia" w:ascii="宋体" w:hAnsi="宋体" w:eastAsia="宋体" w:cs="宋体"/>
          <w:sz w:val="24"/>
          <w:szCs w:val="32"/>
        </w:rPr>
        <w:fldChar w:fldCharType="separate"/>
      </w:r>
      <w:r>
        <w:rPr>
          <w:rFonts w:hint="eastAsia" w:ascii="宋体" w:hAnsi="宋体" w:eastAsia="宋体" w:cs="宋体"/>
          <w:sz w:val="24"/>
          <w:szCs w:val="32"/>
        </w:rPr>
        <w:t>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"_Toc4703" </w:instrText>
      </w:r>
      <w:r>
        <w:fldChar w:fldCharType="separate"/>
      </w:r>
      <w:r>
        <w:rPr>
          <w:rFonts w:hint="eastAsia" w:ascii="宋体" w:hAnsi="宋体" w:eastAsia="宋体" w:cs="宋体"/>
          <w:bCs/>
          <w:sz w:val="24"/>
          <w:szCs w:val="36"/>
        </w:rPr>
        <w:t>1.3 研究内容与研究方法</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_Toc4703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"_Toc7287" </w:instrText>
      </w:r>
      <w:r>
        <w:fldChar w:fldCharType="separate"/>
      </w:r>
      <w:r>
        <w:rPr>
          <w:rFonts w:hint="eastAsia" w:ascii="宋体" w:hAnsi="宋体" w:eastAsia="宋体" w:cs="宋体"/>
          <w:sz w:val="24"/>
          <w:szCs w:val="32"/>
        </w:rPr>
        <w:t>1.3.1 研究内容</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_Toc7287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"_Toc19162" </w:instrText>
      </w:r>
      <w:r>
        <w:fldChar w:fldCharType="separate"/>
      </w:r>
      <w:r>
        <w:rPr>
          <w:rFonts w:hint="eastAsia" w:ascii="宋体" w:hAnsi="宋体" w:eastAsia="宋体" w:cs="宋体"/>
          <w:sz w:val="24"/>
          <w:szCs w:val="32"/>
        </w:rPr>
        <w:t>1.3.2 研究方法</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_Toc19162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"_Toc5148" </w:instrText>
      </w:r>
      <w:r>
        <w:fldChar w:fldCharType="separate"/>
      </w:r>
      <w:r>
        <w:rPr>
          <w:rFonts w:hint="eastAsia" w:ascii="宋体" w:hAnsi="宋体" w:eastAsia="宋体" w:cs="宋体"/>
          <w:bCs/>
          <w:sz w:val="24"/>
          <w:szCs w:val="36"/>
        </w:rPr>
        <w:t>1.4 创新与不足</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_Toc5148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"_Toc19393" </w:instrText>
      </w:r>
      <w:r>
        <w:fldChar w:fldCharType="separate"/>
      </w:r>
      <w:r>
        <w:rPr>
          <w:rFonts w:hint="eastAsia" w:ascii="宋体" w:hAnsi="宋体" w:eastAsia="宋体" w:cs="宋体"/>
          <w:sz w:val="24"/>
          <w:szCs w:val="32"/>
        </w:rPr>
        <w:t>1.4.1 创新点</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_Toc19393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"_Toc30851" </w:instrText>
      </w:r>
      <w:r>
        <w:fldChar w:fldCharType="separate"/>
      </w:r>
      <w:r>
        <w:rPr>
          <w:rFonts w:hint="eastAsia" w:ascii="宋体" w:hAnsi="宋体" w:eastAsia="宋体" w:cs="宋体"/>
          <w:sz w:val="24"/>
          <w:szCs w:val="32"/>
        </w:rPr>
        <w:t>1.4.2 不足之处</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_Toc30851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sz w:val="24"/>
          <w:szCs w:val="32"/>
        </w:rPr>
      </w:pPr>
      <w:r>
        <w:fldChar w:fldCharType="begin"/>
      </w:r>
      <w:r>
        <w:instrText xml:space="preserve"> HYPERLINK \l "_Toc3422" </w:instrText>
      </w:r>
      <w:r>
        <w:fldChar w:fldCharType="separate"/>
      </w:r>
      <w:r>
        <w:rPr>
          <w:rFonts w:hint="eastAsia" w:ascii="宋体" w:hAnsi="宋体" w:eastAsia="宋体" w:cs="宋体"/>
          <w:b/>
          <w:bCs/>
          <w:sz w:val="24"/>
          <w:szCs w:val="40"/>
        </w:rPr>
        <w:t>2 相关概念及理论基础</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_Toc3422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12</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"_Toc31450" </w:instrText>
      </w:r>
      <w:r>
        <w:fldChar w:fldCharType="separate"/>
      </w:r>
      <w:r>
        <w:rPr>
          <w:rFonts w:hint="eastAsia" w:ascii="宋体" w:hAnsi="宋体" w:eastAsia="宋体" w:cs="宋体"/>
          <w:sz w:val="24"/>
          <w:szCs w:val="36"/>
        </w:rPr>
        <w:t>2.1 农产品地理标志的概述</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_Toc31450 </w:instrText>
      </w:r>
      <w:r>
        <w:rPr>
          <w:rFonts w:hint="eastAsia" w:ascii="宋体" w:hAnsi="宋体" w:eastAsia="宋体" w:cs="宋体"/>
          <w:sz w:val="24"/>
          <w:szCs w:val="32"/>
        </w:rPr>
        <w:fldChar w:fldCharType="separate"/>
      </w:r>
      <w:r>
        <w:rPr>
          <w:rFonts w:hint="eastAsia" w:ascii="宋体" w:hAnsi="宋体" w:eastAsia="宋体" w:cs="宋体"/>
          <w:sz w:val="24"/>
          <w:szCs w:val="32"/>
        </w:rPr>
        <w:t>12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"_Toc30188" </w:instrText>
      </w:r>
      <w:r>
        <w:fldChar w:fldCharType="separate"/>
      </w:r>
      <w:r>
        <w:rPr>
          <w:rFonts w:hint="eastAsia" w:ascii="宋体" w:hAnsi="宋体" w:eastAsia="宋体" w:cs="宋体"/>
          <w:sz w:val="24"/>
          <w:szCs w:val="32"/>
        </w:rPr>
        <w:t>2.1.1 地理标志的概念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_Toc30188 </w:instrText>
      </w:r>
      <w:r>
        <w:rPr>
          <w:rFonts w:hint="eastAsia" w:ascii="宋体" w:hAnsi="宋体" w:eastAsia="宋体" w:cs="宋体"/>
          <w:sz w:val="24"/>
          <w:szCs w:val="32"/>
        </w:rPr>
        <w:fldChar w:fldCharType="separate"/>
      </w:r>
      <w:r>
        <w:rPr>
          <w:rFonts w:hint="eastAsia" w:ascii="宋体" w:hAnsi="宋体" w:eastAsia="宋体" w:cs="宋体"/>
          <w:sz w:val="24"/>
          <w:szCs w:val="32"/>
        </w:rPr>
        <w:t>12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"_Toc8981" </w:instrText>
      </w:r>
      <w:r>
        <w:fldChar w:fldCharType="separate"/>
      </w:r>
      <w:r>
        <w:rPr>
          <w:rFonts w:hint="eastAsia" w:ascii="宋体" w:hAnsi="宋体" w:eastAsia="宋体" w:cs="宋体"/>
          <w:sz w:val="24"/>
          <w:szCs w:val="32"/>
        </w:rPr>
        <w:t>2.1.2 农产品地理标志的概念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_Toc8981 </w:instrText>
      </w:r>
      <w:r>
        <w:rPr>
          <w:rFonts w:hint="eastAsia" w:ascii="宋体" w:hAnsi="宋体" w:eastAsia="宋体" w:cs="宋体"/>
          <w:sz w:val="24"/>
          <w:szCs w:val="32"/>
        </w:rPr>
        <w:fldChar w:fldCharType="separate"/>
      </w:r>
      <w:r>
        <w:rPr>
          <w:rFonts w:hint="eastAsia" w:ascii="宋体" w:hAnsi="宋体" w:eastAsia="宋体" w:cs="宋体"/>
          <w:sz w:val="24"/>
          <w:szCs w:val="32"/>
        </w:rPr>
        <w:t>14</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"_Toc17835" </w:instrText>
      </w:r>
      <w:r>
        <w:fldChar w:fldCharType="separate"/>
      </w:r>
      <w:r>
        <w:rPr>
          <w:rFonts w:hint="eastAsia" w:ascii="宋体" w:hAnsi="宋体" w:eastAsia="宋体" w:cs="宋体"/>
          <w:sz w:val="24"/>
          <w:szCs w:val="36"/>
        </w:rPr>
        <w:t>2.2 非政府组织的概述</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_Toc17835 </w:instrText>
      </w:r>
      <w:r>
        <w:rPr>
          <w:rFonts w:hint="eastAsia" w:ascii="宋体" w:hAnsi="宋体" w:eastAsia="宋体" w:cs="宋体"/>
          <w:sz w:val="24"/>
          <w:szCs w:val="32"/>
        </w:rPr>
        <w:fldChar w:fldCharType="separate"/>
      </w:r>
      <w:r>
        <w:rPr>
          <w:rFonts w:hint="eastAsia" w:ascii="宋体" w:hAnsi="宋体" w:eastAsia="宋体" w:cs="宋体"/>
          <w:sz w:val="24"/>
          <w:szCs w:val="32"/>
        </w:rPr>
        <w:t>15</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"_Toc4134" </w:instrText>
      </w:r>
      <w:r>
        <w:fldChar w:fldCharType="separate"/>
      </w:r>
      <w:r>
        <w:rPr>
          <w:rFonts w:hint="eastAsia" w:ascii="宋体" w:hAnsi="宋体" w:eastAsia="宋体" w:cs="宋体"/>
          <w:sz w:val="24"/>
          <w:szCs w:val="32"/>
        </w:rPr>
        <w:t>2.2.1 非政府组织的内涵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_Toc4134 </w:instrText>
      </w:r>
      <w:r>
        <w:rPr>
          <w:rFonts w:hint="eastAsia" w:ascii="宋体" w:hAnsi="宋体" w:eastAsia="宋体" w:cs="宋体"/>
          <w:sz w:val="24"/>
          <w:szCs w:val="32"/>
        </w:rPr>
        <w:fldChar w:fldCharType="separate"/>
      </w:r>
      <w:r>
        <w:rPr>
          <w:rFonts w:hint="eastAsia" w:ascii="宋体" w:hAnsi="宋体" w:eastAsia="宋体" w:cs="宋体"/>
          <w:sz w:val="24"/>
          <w:szCs w:val="32"/>
        </w:rPr>
        <w:t>15</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"_Toc18609" </w:instrText>
      </w:r>
      <w:r>
        <w:fldChar w:fldCharType="separate"/>
      </w:r>
      <w:r>
        <w:rPr>
          <w:rFonts w:hint="eastAsia" w:ascii="宋体" w:hAnsi="宋体" w:eastAsia="宋体" w:cs="宋体"/>
          <w:sz w:val="24"/>
          <w:szCs w:val="32"/>
        </w:rPr>
        <w:t>2.2.2 涉农非政府组织的概念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_Toc18609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"_Toc2827" </w:instrText>
      </w:r>
      <w:r>
        <w:fldChar w:fldCharType="separate"/>
      </w:r>
      <w:r>
        <w:rPr>
          <w:rFonts w:hint="eastAsia" w:ascii="宋体" w:hAnsi="宋体" w:eastAsia="宋体" w:cs="宋体"/>
          <w:sz w:val="24"/>
          <w:szCs w:val="36"/>
        </w:rPr>
        <w:t>2.3 理论基础</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_Toc2827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"_Toc9277" </w:instrText>
      </w:r>
      <w:r>
        <w:fldChar w:fldCharType="separate"/>
      </w:r>
      <w:r>
        <w:rPr>
          <w:rFonts w:hint="eastAsia" w:ascii="宋体" w:hAnsi="宋体" w:eastAsia="宋体" w:cs="宋体"/>
          <w:sz w:val="24"/>
          <w:szCs w:val="32"/>
        </w:rPr>
        <w:t>2.3.1 市场失灵与政府失灵理论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_Toc9277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"_Toc2908" </w:instrText>
      </w:r>
      <w:r>
        <w:fldChar w:fldCharType="separate"/>
      </w:r>
      <w:r>
        <w:rPr>
          <w:rFonts w:hint="eastAsia" w:ascii="宋体" w:hAnsi="宋体" w:eastAsia="宋体" w:cs="宋体"/>
          <w:sz w:val="24"/>
          <w:szCs w:val="32"/>
        </w:rPr>
        <w:t>2.3.2 治理理论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_Toc2908 </w:instrText>
      </w:r>
      <w:r>
        <w:rPr>
          <w:rFonts w:hint="eastAsia" w:ascii="宋体" w:hAnsi="宋体" w:eastAsia="宋体" w:cs="宋体"/>
          <w:sz w:val="24"/>
          <w:szCs w:val="32"/>
        </w:rPr>
        <w:fldChar w:fldCharType="separate"/>
      </w:r>
      <w:r>
        <w:rPr>
          <w:rFonts w:hint="eastAsia" w:ascii="宋体" w:hAnsi="宋体" w:eastAsia="宋体" w:cs="宋体"/>
          <w:sz w:val="24"/>
          <w:szCs w:val="32"/>
        </w:rPr>
        <w:t>17</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"_Toc908" </w:instrText>
      </w:r>
      <w:r>
        <w:fldChar w:fldCharType="separate"/>
      </w:r>
      <w:r>
        <w:rPr>
          <w:rFonts w:hint="eastAsia" w:ascii="宋体" w:hAnsi="宋体" w:eastAsia="宋体" w:cs="宋体"/>
          <w:sz w:val="24"/>
          <w:szCs w:val="32"/>
        </w:rPr>
        <w:t>2.3.3 知识产权理论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_Toc908 </w:instrText>
      </w:r>
      <w:r>
        <w:rPr>
          <w:rFonts w:hint="eastAsia" w:ascii="宋体" w:hAnsi="宋体" w:eastAsia="宋体" w:cs="宋体"/>
          <w:sz w:val="24"/>
          <w:szCs w:val="32"/>
        </w:rPr>
        <w:fldChar w:fldCharType="separate"/>
      </w:r>
      <w:r>
        <w:rPr>
          <w:rFonts w:hint="eastAsia" w:ascii="宋体" w:hAnsi="宋体" w:eastAsia="宋体" w:cs="宋体"/>
          <w:sz w:val="24"/>
          <w:szCs w:val="32"/>
        </w:rPr>
        <w:t>18</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sz w:val="24"/>
          <w:szCs w:val="32"/>
        </w:rPr>
      </w:pPr>
      <w:r>
        <w:fldChar w:fldCharType="begin"/>
      </w:r>
      <w:r>
        <w:instrText xml:space="preserve"> HYPERLINK \l "_Toc320" </w:instrText>
      </w:r>
      <w:r>
        <w:fldChar w:fldCharType="separate"/>
      </w:r>
      <w:r>
        <w:rPr>
          <w:rFonts w:hint="eastAsia" w:ascii="宋体" w:hAnsi="宋体" w:eastAsia="宋体" w:cs="宋体"/>
          <w:b/>
          <w:bCs/>
          <w:sz w:val="24"/>
          <w:szCs w:val="40"/>
        </w:rPr>
        <w:t>3 我国非政府组织保护农产品地理标志的概况及个案研究</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_Toc320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20</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"_Toc18571" </w:instrText>
      </w:r>
      <w:r>
        <w:fldChar w:fldCharType="separate"/>
      </w:r>
      <w:r>
        <w:rPr>
          <w:rFonts w:hint="eastAsia" w:ascii="宋体" w:hAnsi="宋体" w:eastAsia="宋体" w:cs="宋体"/>
          <w:sz w:val="24"/>
          <w:szCs w:val="36"/>
        </w:rPr>
        <w:t>3.1 我国农产品地理标志保护概况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_Toc18571 </w:instrText>
      </w:r>
      <w:r>
        <w:rPr>
          <w:rFonts w:hint="eastAsia" w:ascii="宋体" w:hAnsi="宋体" w:eastAsia="宋体" w:cs="宋体"/>
          <w:sz w:val="24"/>
          <w:szCs w:val="32"/>
        </w:rPr>
        <w:fldChar w:fldCharType="separate"/>
      </w:r>
      <w:r>
        <w:rPr>
          <w:rFonts w:hint="eastAsia" w:ascii="宋体" w:hAnsi="宋体" w:eastAsia="宋体" w:cs="宋体"/>
          <w:sz w:val="24"/>
          <w:szCs w:val="32"/>
        </w:rPr>
        <w:t>20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735" w:firstLineChars="350"/>
        <w:rPr>
          <w:rFonts w:ascii="宋体" w:hAnsi="宋体" w:eastAsia="宋体" w:cs="宋体"/>
          <w:sz w:val="24"/>
          <w:szCs w:val="32"/>
        </w:rPr>
      </w:pPr>
      <w:r>
        <w:fldChar w:fldCharType="begin"/>
      </w:r>
      <w:r>
        <w:instrText xml:space="preserve"> HYPERLINK \l "_Toc6117" </w:instrText>
      </w:r>
      <w:r>
        <w:fldChar w:fldCharType="separate"/>
      </w:r>
      <w:r>
        <w:rPr>
          <w:rFonts w:hint="eastAsia" w:ascii="宋体" w:hAnsi="宋体" w:eastAsia="宋体" w:cs="宋体"/>
          <w:sz w:val="24"/>
          <w:szCs w:val="32"/>
        </w:rPr>
        <w:t>3.1.1 政府部门对农产品地理标志的保护现状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_Toc6117 </w:instrText>
      </w:r>
      <w:r>
        <w:rPr>
          <w:rFonts w:hint="eastAsia" w:ascii="宋体" w:hAnsi="宋体" w:eastAsia="宋体" w:cs="宋体"/>
          <w:sz w:val="24"/>
          <w:szCs w:val="32"/>
        </w:rPr>
        <w:fldChar w:fldCharType="separate"/>
      </w:r>
      <w:r>
        <w:rPr>
          <w:rFonts w:hint="eastAsia" w:ascii="宋体" w:hAnsi="宋体" w:eastAsia="宋体" w:cs="宋体"/>
          <w:sz w:val="24"/>
          <w:szCs w:val="32"/>
        </w:rPr>
        <w:t>20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735" w:firstLineChars="350"/>
        <w:rPr>
          <w:rFonts w:ascii="宋体" w:hAnsi="宋体" w:eastAsia="宋体" w:cs="宋体"/>
          <w:sz w:val="24"/>
          <w:szCs w:val="32"/>
        </w:rPr>
      </w:pPr>
      <w:r>
        <w:fldChar w:fldCharType="begin"/>
      </w:r>
      <w:r>
        <w:instrText xml:space="preserve"> HYPERLINK \l "_Toc18134" </w:instrText>
      </w:r>
      <w:r>
        <w:fldChar w:fldCharType="separate"/>
      </w:r>
      <w:r>
        <w:rPr>
          <w:rFonts w:hint="eastAsia" w:ascii="宋体" w:hAnsi="宋体" w:eastAsia="宋体" w:cs="宋体"/>
          <w:sz w:val="24"/>
          <w:szCs w:val="32"/>
        </w:rPr>
        <w:t>3.1.2 非政府组织对农产品地理标志的保护概况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_Toc18134 </w:instrText>
      </w:r>
      <w:r>
        <w:rPr>
          <w:rFonts w:hint="eastAsia" w:ascii="宋体" w:hAnsi="宋体" w:eastAsia="宋体" w:cs="宋体"/>
          <w:sz w:val="24"/>
          <w:szCs w:val="32"/>
        </w:rPr>
        <w:fldChar w:fldCharType="separate"/>
      </w:r>
      <w:r>
        <w:rPr>
          <w:rFonts w:hint="eastAsia" w:ascii="宋体" w:hAnsi="宋体" w:eastAsia="宋体" w:cs="宋体"/>
          <w:sz w:val="24"/>
          <w:szCs w:val="32"/>
        </w:rPr>
        <w:t>21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"_Toc6105" </w:instrText>
      </w:r>
      <w:r>
        <w:fldChar w:fldCharType="separate"/>
      </w:r>
      <w:r>
        <w:rPr>
          <w:rFonts w:hint="eastAsia" w:ascii="宋体" w:hAnsi="宋体" w:eastAsia="宋体" w:cs="宋体"/>
          <w:b/>
          <w:bCs/>
          <w:sz w:val="24"/>
          <w:szCs w:val="40"/>
        </w:rPr>
        <w:t>7 结语</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_Toc6105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66</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"_Toc31626" </w:instrText>
      </w:r>
      <w:r>
        <w:fldChar w:fldCharType="separate"/>
      </w:r>
      <w:r>
        <w:rPr>
          <w:rFonts w:hint="eastAsia" w:ascii="宋体" w:hAnsi="宋体" w:eastAsia="宋体" w:cs="宋体"/>
          <w:b/>
          <w:bCs/>
          <w:sz w:val="24"/>
          <w:szCs w:val="40"/>
        </w:rPr>
        <w:t>参考文献</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_Toc31626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67</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"_Toc21694" </w:instrText>
      </w:r>
      <w:r>
        <w:fldChar w:fldCharType="separate"/>
      </w:r>
      <w:r>
        <w:rPr>
          <w:rFonts w:hint="eastAsia" w:ascii="宋体" w:hAnsi="宋体" w:eastAsia="宋体" w:cs="宋体"/>
          <w:b/>
          <w:bCs/>
          <w:sz w:val="24"/>
          <w:szCs w:val="40"/>
        </w:rPr>
        <w:t>致谢</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_Toc21694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70</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b/>
          <w:bCs/>
        </w:rPr>
      </w:pPr>
      <w:r>
        <w:fldChar w:fldCharType="begin"/>
      </w:r>
      <w:r>
        <w:instrText xml:space="preserve"> HYPERLINK \l "_Toc8251" </w:instrText>
      </w:r>
      <w:r>
        <w:fldChar w:fldCharType="separate"/>
      </w:r>
      <w:r>
        <w:rPr>
          <w:rFonts w:hint="eastAsia" w:ascii="宋体" w:hAnsi="宋体" w:eastAsia="宋体" w:cs="宋体"/>
          <w:b/>
          <w:bCs/>
          <w:sz w:val="24"/>
          <w:szCs w:val="40"/>
        </w:rPr>
        <w:t>在读硕士期间取得的主要学术成就</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_Toc8251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71</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spacing w:before="318" w:beforeLines="100" w:after="318" w:afterLines="100" w:line="360" w:lineRule="auto"/>
        <w:jc w:val="center"/>
        <w:outlineLvl w:val="0"/>
        <w:rPr>
          <w:rFonts w:hint="eastAsia" w:ascii="宋体" w:hAnsi="宋体" w:eastAsia="宋体" w:cs="宋体"/>
          <w:color w:val="0000FF"/>
          <w:lang w:val="zh-CN"/>
        </w:rPr>
      </w:pPr>
      <w:r>
        <w:rPr>
          <w:rFonts w:hint="eastAsia" w:ascii="宋体" w:hAnsi="宋体" w:eastAsia="宋体" w:cs="宋体"/>
          <w:color w:val="0000FF"/>
          <w:lang w:val="zh-CN"/>
        </w:rPr>
        <w:fldChar w:fldCharType="end"/>
      </w: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adjustRightInd w:val="0"/>
        <w:snapToGrid w:val="0"/>
        <w:spacing w:line="360" w:lineRule="auto"/>
        <w:jc w:val="center"/>
        <w:rPr>
          <w:rFonts w:ascii="黑体" w:hAnsi="黑体" w:eastAsia="黑体"/>
          <w:b/>
          <w:color w:val="000000"/>
          <w:sz w:val="32"/>
          <w:szCs w:val="32"/>
        </w:rPr>
      </w:pPr>
      <w:r>
        <w:rPr>
          <w:rFonts w:hint="eastAsia" w:ascii="黑体" w:hAnsi="黑体" w:eastAsia="黑体"/>
          <w:b/>
          <w:color w:val="000000"/>
          <w:sz w:val="32"/>
          <w:szCs w:val="32"/>
        </w:rPr>
        <w:t>表目录</w:t>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Style w:val="31"/>
          <w:rFonts w:hint="eastAsia"/>
          <w:b/>
          <w:color w:val="000000"/>
          <w:sz w:val="24"/>
          <w:szCs w:val="24"/>
          <w:u w:val="none"/>
        </w:rPr>
        <w:t>表5.1</w:t>
      </w:r>
      <w:r>
        <w:rPr>
          <w:rStyle w:val="31"/>
          <w:b/>
          <w:color w:val="000000"/>
          <w:sz w:val="24"/>
          <w:szCs w:val="24"/>
          <w:u w:val="none"/>
        </w:rPr>
        <w:t>各地市玉米产量指标统计</w:t>
      </w:r>
      <w:r>
        <w:rPr>
          <w:rStyle w:val="31"/>
          <w:rFonts w:hint="eastAsia"/>
          <w:b/>
          <w:color w:val="000000"/>
          <w:sz w:val="24"/>
          <w:szCs w:val="24"/>
          <w:u w:val="none"/>
        </w:rPr>
        <w:t>（千克/公顷）</w:t>
      </w:r>
      <w:r>
        <w:rPr>
          <w:color w:val="000000"/>
          <w:sz w:val="24"/>
          <w:szCs w:val="24"/>
        </w:rPr>
        <w:tab/>
      </w:r>
      <w:r>
        <w:rPr>
          <w:color w:val="000000"/>
          <w:sz w:val="24"/>
          <w:szCs w:val="24"/>
        </w:rPr>
        <w:t>3</w:t>
      </w:r>
      <w:r>
        <w:rPr>
          <w:color w:val="000000"/>
          <w:sz w:val="24"/>
          <w:szCs w:val="24"/>
        </w:rPr>
        <w:fldChar w:fldCharType="end"/>
      </w: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pStyle w:val="15"/>
        <w:tabs>
          <w:tab w:val="right" w:leader="dot" w:pos="9060"/>
        </w:tabs>
        <w:snapToGrid w:val="0"/>
        <w:spacing w:line="360" w:lineRule="auto"/>
        <w:rPr>
          <w:color w:val="000000"/>
          <w:sz w:val="24"/>
          <w:szCs w:val="24"/>
        </w:rPr>
      </w:pPr>
    </w:p>
    <w:p>
      <w:pPr>
        <w:adjustRightInd w:val="0"/>
        <w:snapToGrid w:val="0"/>
        <w:jc w:val="center"/>
        <w:rPr>
          <w:rFonts w:ascii="黑体" w:hAnsi="黑体" w:eastAsia="黑体"/>
          <w:b/>
          <w:sz w:val="32"/>
          <w:szCs w:val="32"/>
        </w:rPr>
      </w:pPr>
      <w:r>
        <w:rPr>
          <w:rFonts w:hint="eastAsia" w:ascii="黑体" w:hAnsi="黑体" w:eastAsia="黑体"/>
          <w:b/>
          <w:sz w:val="32"/>
          <w:szCs w:val="32"/>
        </w:rPr>
        <w:t>图目录</w:t>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Fonts w:hint="eastAsia"/>
          <w:b/>
          <w:color w:val="000000"/>
          <w:sz w:val="24"/>
          <w:szCs w:val="24"/>
        </w:rPr>
        <w:t>图</w:t>
      </w:r>
      <w:r>
        <w:rPr>
          <w:rStyle w:val="31"/>
          <w:rFonts w:hint="eastAsia"/>
          <w:b/>
          <w:color w:val="000000"/>
          <w:sz w:val="24"/>
          <w:szCs w:val="24"/>
          <w:u w:val="none"/>
        </w:rPr>
        <w:t>5.</w:t>
      </w:r>
      <w:r>
        <w:rPr>
          <w:rStyle w:val="31"/>
          <w:b/>
          <w:color w:val="000000"/>
          <w:sz w:val="24"/>
          <w:szCs w:val="24"/>
          <w:u w:val="none"/>
        </w:rPr>
        <w:t>1</w:t>
      </w:r>
      <w:r>
        <w:rPr>
          <w:color w:val="000000"/>
          <w:sz w:val="24"/>
          <w:szCs w:val="24"/>
        </w:rPr>
        <w:tab/>
      </w:r>
      <w:r>
        <w:rPr>
          <w:color w:val="000000"/>
          <w:sz w:val="24"/>
          <w:szCs w:val="24"/>
        </w:rPr>
        <w:t>3</w:t>
      </w:r>
      <w:r>
        <w:rPr>
          <w:color w:val="000000"/>
          <w:sz w:val="24"/>
          <w:szCs w:val="24"/>
        </w:rPr>
        <w:fldChar w:fldCharType="end"/>
      </w:r>
    </w:p>
    <w:p>
      <w:pPr>
        <w:pStyle w:val="15"/>
        <w:tabs>
          <w:tab w:val="right" w:leader="dot" w:pos="9060"/>
        </w:tabs>
        <w:snapToGrid w:val="0"/>
        <w:spacing w:line="360" w:lineRule="auto"/>
        <w:rPr>
          <w:color w:val="000000"/>
          <w:sz w:val="24"/>
          <w:szCs w:val="24"/>
        </w:rPr>
      </w:pPr>
      <w:r>
        <w:rPr>
          <w:color w:val="000000"/>
          <w:sz w:val="24"/>
          <w:szCs w:val="24"/>
        </w:rPr>
        <w:fldChar w:fldCharType="begin"/>
      </w:r>
      <w:r>
        <w:rPr>
          <w:rStyle w:val="31"/>
          <w:color w:val="000000"/>
          <w:sz w:val="24"/>
          <w:szCs w:val="24"/>
          <w:u w:val="none"/>
        </w:rPr>
        <w:instrText xml:space="preserve"> </w:instrText>
      </w:r>
      <w:r>
        <w:rPr>
          <w:color w:val="000000"/>
          <w:sz w:val="24"/>
          <w:szCs w:val="24"/>
        </w:rPr>
        <w:instrText xml:space="preserve">HYPERLINK \l "_Toc485030081"</w:instrText>
      </w:r>
      <w:r>
        <w:rPr>
          <w:rStyle w:val="31"/>
          <w:color w:val="000000"/>
          <w:sz w:val="24"/>
          <w:szCs w:val="24"/>
          <w:u w:val="none"/>
        </w:rPr>
        <w:instrText xml:space="preserve"> </w:instrText>
      </w:r>
      <w:r>
        <w:rPr>
          <w:color w:val="000000"/>
          <w:sz w:val="24"/>
          <w:szCs w:val="24"/>
        </w:rPr>
        <w:fldChar w:fldCharType="separate"/>
      </w:r>
      <w:r>
        <w:rPr>
          <w:rFonts w:hint="eastAsia"/>
          <w:b/>
          <w:color w:val="000000"/>
          <w:sz w:val="24"/>
          <w:szCs w:val="24"/>
        </w:rPr>
        <w:t>图</w:t>
      </w:r>
      <w:r>
        <w:rPr>
          <w:rStyle w:val="31"/>
          <w:rFonts w:hint="eastAsia"/>
          <w:b/>
          <w:color w:val="000000"/>
          <w:sz w:val="24"/>
          <w:szCs w:val="24"/>
          <w:u w:val="none"/>
        </w:rPr>
        <w:t>5.2</w:t>
      </w:r>
      <w:r>
        <w:rPr>
          <w:color w:val="000000"/>
          <w:sz w:val="24"/>
          <w:szCs w:val="24"/>
        </w:rPr>
        <w:tab/>
      </w:r>
      <w:r>
        <w:rPr>
          <w:color w:val="000000"/>
          <w:sz w:val="24"/>
          <w:szCs w:val="24"/>
        </w:rPr>
        <w:t>3</w:t>
      </w:r>
      <w:r>
        <w:rPr>
          <w:color w:val="000000"/>
          <w:sz w:val="24"/>
          <w:szCs w:val="24"/>
        </w:rPr>
        <w:fldChar w:fldCharType="end"/>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Fonts w:hint="eastAsia"/>
          <w:b/>
          <w:color w:val="000000"/>
          <w:sz w:val="24"/>
          <w:szCs w:val="24"/>
        </w:rPr>
        <w:t>图</w:t>
      </w:r>
      <w:r>
        <w:rPr>
          <w:rStyle w:val="31"/>
          <w:rFonts w:hint="eastAsia"/>
          <w:b/>
          <w:color w:val="000000"/>
          <w:sz w:val="24"/>
          <w:szCs w:val="24"/>
          <w:u w:val="none"/>
        </w:rPr>
        <w:t>5.3</w:t>
      </w:r>
      <w:r>
        <w:rPr>
          <w:color w:val="000000"/>
          <w:sz w:val="24"/>
          <w:szCs w:val="24"/>
        </w:rPr>
        <w:tab/>
      </w:r>
      <w:r>
        <w:rPr>
          <w:color w:val="000000"/>
          <w:sz w:val="24"/>
          <w:szCs w:val="24"/>
        </w:rPr>
        <w:t>3</w:t>
      </w:r>
      <w:r>
        <w:rPr>
          <w:color w:val="000000"/>
          <w:sz w:val="24"/>
          <w:szCs w:val="24"/>
        </w:rPr>
        <w:fldChar w:fldCharType="end"/>
      </w: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pStyle w:val="15"/>
        <w:tabs>
          <w:tab w:val="right" w:leader="dot" w:pos="9060"/>
        </w:tabs>
        <w:snapToGrid w:val="0"/>
        <w:spacing w:line="360" w:lineRule="auto"/>
        <w:rPr>
          <w:color w:val="000000"/>
          <w:sz w:val="24"/>
          <w:szCs w:val="24"/>
        </w:rPr>
      </w:pPr>
    </w:p>
    <w:p>
      <w:pPr>
        <w:pStyle w:val="15"/>
        <w:tabs>
          <w:tab w:val="right" w:leader="dot" w:pos="9060"/>
        </w:tabs>
        <w:snapToGrid w:val="0"/>
        <w:spacing w:line="360" w:lineRule="auto"/>
        <w:jc w:val="center"/>
        <w:rPr>
          <w:rFonts w:ascii="黑体" w:hAnsi="黑体" w:eastAsia="黑体"/>
          <w:b/>
          <w:sz w:val="32"/>
          <w:szCs w:val="32"/>
        </w:rPr>
      </w:pPr>
      <w:r>
        <w:rPr>
          <w:rFonts w:hint="eastAsia" w:ascii="黑体" w:hAnsi="黑体" w:eastAsia="黑体"/>
          <w:b/>
          <w:sz w:val="32"/>
          <w:szCs w:val="32"/>
        </w:rPr>
        <w:t>中英文缩略词对照表</w:t>
      </w:r>
    </w:p>
    <w:p>
      <w:pPr>
        <w:adjustRightInd w:val="0"/>
        <w:snapToGrid w:val="0"/>
        <w:rPr>
          <w:b/>
          <w:sz w:val="24"/>
          <w:szCs w:val="24"/>
        </w:rPr>
      </w:pPr>
    </w:p>
    <w:tbl>
      <w:tblPr>
        <w:tblStyle w:val="22"/>
        <w:tblW w:w="928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5124"/>
        <w:gridCol w:w="280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jc w:val="center"/>
        </w:trPr>
        <w:tc>
          <w:tcPr>
            <w:tcW w:w="1356" w:type="dxa"/>
            <w:tcBorders>
              <w:top w:val="single" w:color="auto" w:sz="12" w:space="0"/>
              <w:bottom w:val="single" w:color="auto" w:sz="4" w:space="0"/>
              <w:right w:val="nil"/>
            </w:tcBorders>
          </w:tcPr>
          <w:p>
            <w:pPr>
              <w:adjustRightInd w:val="0"/>
              <w:snapToGrid w:val="0"/>
              <w:jc w:val="center"/>
              <w:rPr>
                <w:sz w:val="24"/>
                <w:szCs w:val="24"/>
              </w:rPr>
            </w:pPr>
            <w:r>
              <w:rPr>
                <w:rFonts w:hint="eastAsia"/>
                <w:sz w:val="24"/>
                <w:szCs w:val="24"/>
              </w:rPr>
              <w:t>英文缩写</w:t>
            </w:r>
          </w:p>
        </w:tc>
        <w:tc>
          <w:tcPr>
            <w:tcW w:w="5124" w:type="dxa"/>
            <w:tcBorders>
              <w:top w:val="single" w:color="auto" w:sz="12" w:space="0"/>
              <w:left w:val="nil"/>
              <w:bottom w:val="single" w:color="auto" w:sz="4" w:space="0"/>
              <w:right w:val="nil"/>
            </w:tcBorders>
          </w:tcPr>
          <w:p>
            <w:pPr>
              <w:adjustRightInd w:val="0"/>
              <w:snapToGrid w:val="0"/>
              <w:jc w:val="center"/>
              <w:rPr>
                <w:sz w:val="24"/>
                <w:szCs w:val="24"/>
              </w:rPr>
            </w:pPr>
            <w:r>
              <w:rPr>
                <w:rFonts w:hint="eastAsia"/>
                <w:sz w:val="24"/>
                <w:szCs w:val="24"/>
              </w:rPr>
              <w:t>英文全称</w:t>
            </w:r>
          </w:p>
        </w:tc>
        <w:tc>
          <w:tcPr>
            <w:tcW w:w="2806" w:type="dxa"/>
            <w:tcBorders>
              <w:top w:val="single" w:color="auto" w:sz="12" w:space="0"/>
              <w:left w:val="nil"/>
              <w:bottom w:val="single" w:color="auto" w:sz="4" w:space="0"/>
            </w:tcBorders>
          </w:tcPr>
          <w:p>
            <w:pPr>
              <w:adjustRightInd w:val="0"/>
              <w:snapToGrid w:val="0"/>
              <w:jc w:val="center"/>
              <w:rPr>
                <w:sz w:val="24"/>
                <w:szCs w:val="24"/>
              </w:rPr>
            </w:pPr>
            <w:r>
              <w:rPr>
                <w:rFonts w:hint="eastAsia"/>
                <w:sz w:val="24"/>
                <w:szCs w:val="24"/>
              </w:rPr>
              <w:t>中文名称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tcBorders>
              <w:bottom w:val="single" w:color="auto" w:sz="12" w:space="0"/>
              <w:right w:val="nil"/>
            </w:tcBorders>
          </w:tcPr>
          <w:p>
            <w:pPr>
              <w:adjustRightInd w:val="0"/>
              <w:snapToGrid w:val="0"/>
              <w:jc w:val="center"/>
              <w:rPr>
                <w:b/>
                <w:sz w:val="24"/>
                <w:szCs w:val="24"/>
              </w:rPr>
            </w:pPr>
            <w:r>
              <w:rPr>
                <w:sz w:val="24"/>
                <w:szCs w:val="24"/>
              </w:rPr>
              <w:t>ARIMA</w:t>
            </w:r>
          </w:p>
        </w:tc>
        <w:tc>
          <w:tcPr>
            <w:tcW w:w="5124" w:type="dxa"/>
            <w:tcBorders>
              <w:left w:val="nil"/>
              <w:bottom w:val="single" w:color="auto" w:sz="12" w:space="0"/>
              <w:right w:val="nil"/>
            </w:tcBorders>
          </w:tcPr>
          <w:p>
            <w:pPr>
              <w:adjustRightInd w:val="0"/>
              <w:snapToGrid w:val="0"/>
              <w:jc w:val="center"/>
              <w:rPr>
                <w:sz w:val="24"/>
                <w:szCs w:val="24"/>
              </w:rPr>
            </w:pPr>
            <w:r>
              <w:rPr>
                <w:sz w:val="24"/>
                <w:szCs w:val="24"/>
              </w:rPr>
              <w:t>Autoregressive Integrated Moving Average</w:t>
            </w:r>
          </w:p>
        </w:tc>
        <w:tc>
          <w:tcPr>
            <w:tcW w:w="2806" w:type="dxa"/>
            <w:tcBorders>
              <w:left w:val="nil"/>
              <w:bottom w:val="single" w:color="auto" w:sz="12" w:space="0"/>
            </w:tcBorders>
          </w:tcPr>
          <w:p>
            <w:pPr>
              <w:adjustRightInd w:val="0"/>
              <w:snapToGrid w:val="0"/>
              <w:jc w:val="center"/>
              <w:rPr>
                <w:sz w:val="24"/>
                <w:szCs w:val="24"/>
              </w:rPr>
            </w:pPr>
            <w:r>
              <w:rPr>
                <w:rFonts w:hint="eastAsia"/>
                <w:sz w:val="24"/>
                <w:szCs w:val="24"/>
              </w:rPr>
              <w:t>自回归积分滑动平均</w:t>
            </w:r>
          </w:p>
        </w:tc>
      </w:tr>
    </w:tbl>
    <w:p>
      <w:pPr>
        <w:pStyle w:val="15"/>
        <w:tabs>
          <w:tab w:val="right" w:leader="dot" w:pos="9060"/>
        </w:tabs>
        <w:snapToGrid w:val="0"/>
        <w:spacing w:line="360" w:lineRule="auto"/>
        <w:rPr>
          <w:rFonts w:ascii="宋体" w:hAnsi="宋体" w:eastAsia="宋体" w:cs="宋体"/>
          <w:color w:val="0000FF"/>
          <w:lang w:val="zh-CN"/>
        </w:rPr>
      </w:pPr>
      <w:r>
        <w:rPr>
          <w:rFonts w:hint="eastAsia" w:ascii="宋体" w:hAnsi="宋体" w:eastAsia="宋体" w:cs="宋体"/>
          <w:color w:val="0000FF"/>
          <w:lang w:val="zh-CN"/>
        </w:rPr>
        <w:br w:type="page"/>
      </w:r>
    </w:p>
    <w:p>
      <w:pPr>
        <w:spacing w:before="318" w:beforeLines="100" w:after="318" w:afterLines="100" w:line="360" w:lineRule="auto"/>
        <w:jc w:val="center"/>
        <w:outlineLvl w:val="0"/>
        <w:rPr>
          <w:rFonts w:ascii="宋体" w:hAnsi="宋体"/>
          <w:b/>
          <w:sz w:val="32"/>
          <w:szCs w:val="32"/>
        </w:rPr>
      </w:pPr>
      <w:bookmarkStart w:id="9" w:name="_Toc28532"/>
      <w:r>
        <w:rPr>
          <w:rFonts w:hint="eastAsia" w:ascii="黑体" w:hAnsi="Times New Roman" w:eastAsia="黑体" w:cs="Times New Roman"/>
          <w:bCs/>
          <w:kern w:val="44"/>
          <w:sz w:val="32"/>
          <w:szCs w:val="44"/>
          <w:lang w:val="zh-CN" w:eastAsia="zh-CN" w:bidi="ar-SA"/>
        </w:rPr>
        <w:t>摘</w:t>
      </w:r>
      <w:r>
        <w:rPr>
          <w:rFonts w:hint="eastAsia" w:ascii="黑体" w:hAnsi="Times New Roman" w:eastAsia="黑体" w:cs="Times New Roman"/>
          <w:bCs/>
          <w:kern w:val="44"/>
          <w:sz w:val="32"/>
          <w:szCs w:val="44"/>
          <w:lang w:val="en-US" w:eastAsia="zh-CN" w:bidi="ar-SA"/>
        </w:rPr>
        <w:t xml:space="preserve">  </w:t>
      </w:r>
      <w:r>
        <w:rPr>
          <w:rFonts w:hint="eastAsia" w:ascii="黑体" w:hAnsi="Times New Roman" w:eastAsia="黑体" w:cs="Times New Roman"/>
          <w:bCs/>
          <w:kern w:val="44"/>
          <w:sz w:val="32"/>
          <w:szCs w:val="44"/>
          <w:lang w:val="zh-CN" w:eastAsia="zh-CN" w:bidi="ar-SA"/>
        </w:rPr>
        <w:t>要</w:t>
      </w:r>
      <w:bookmarkEnd w:id="2"/>
      <w:bookmarkEnd w:id="3"/>
      <w:bookmarkEnd w:id="4"/>
      <w:bookmarkEnd w:id="5"/>
      <w:bookmarkEnd w:id="6"/>
      <w:bookmarkEnd w:id="7"/>
      <w:bookmarkEnd w:id="8"/>
      <w:bookmarkEnd w:id="9"/>
    </w:p>
    <w:bookmarkEnd w:id="0"/>
    <w:bookmarkEnd w:id="1"/>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bookmarkStart w:id="10" w:name="_Toc11370"/>
      <w:r>
        <w:rPr>
          <w:rFonts w:hint="eastAsia" w:ascii="宋体" w:hAnsi="宋体" w:eastAsia="宋体" w:cs="宋体"/>
          <w:sz w:val="24"/>
          <w:szCs w:val="24"/>
        </w:rPr>
        <w:t>农产品地理标志，是指标示农产品来源于特定地域，产品品质和相关特征主要取决于自然生态环境和历史人文因素，并以地域名称冠名的特有农产品标志，是我国农业知识产权的一个重要组成部分，也是我国涉及“三农”问题最为紧密的一项特殊知识产权，其自身蕴含着无穷的经济价值和社会价值，是承载着巨大财富价值的无形财产。中央一号文件连续十四年聚焦“三农问题”，更体现了党中央在新世纪新阶段对我国农业、农村、农民问题的思路和部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近几年，随着非政府组织的不断发展和壮大，其在社会公共领域发挥了越来越重要的作用，参与社会管理的能力得到了提升和改善，在环境保护、医疗卫生、公共危机管理等方面都已逐渐成为一个不可忽视的政府帮手。现阶段，虽然政府高度重视农业知识产权的保护，但由于政府单方面保护的局限性，农业知识产权特别是农产品地理标志保护的效果并不理想。而非政府组织在整合力量、降低成本、提高效益等方面具有天然的优势。但是，目前我国通过非政府组织保护农产品地理标志的效果却没达到大家的预期，这与农产品地理标志保护制度不完善、非政府组织的发展环境不和谐、相关法律法规不健全和非政府组织自身建设不足等问题有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本文以非政府组织视角下我国农产品地理标志的保护为研究对象，在梳理非政府组织保护农产品地理标志的理论基础和现实依据的基础上，分析非政府组织保护农产品地理标志的优势和困境，由此提炼出非政府组织在实际保护过程中遇到的问题。在此基础上，提出完善非政府组织保护农产品地理标志的可行性构想：完善相关立法，优化非政府组织开展保护工作的外部环境，同时加强涉农非政府组织自身能力的建设，建立政府与非政府组织之间良性互动合作关系，对非政府组织保护农产品地理标志在法律、资金、人才、政策等方面给予更多的支持，提高农产品地理标志的保护效率，为新形势下党中央解决“三农问题”提供新的切入点和更大的支持。</w:t>
      </w:r>
      <w:bookmarkEnd w:id="1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本文主要包括七大部分：第一章介绍了论文的选题背景与意义，国内外的研究现状，论文的研究内容与方法，以及论文的创新点和存在的不足。第二章解释了两个核心概念和三个理论基础，其中对地理标志概念的来源与发展脉络进行了简单的梳理。第三章概述了我国目前非政府组织保护农产品地理标志的现状，并以两个协会为案例，对其发展和运作特点进行比较和分析，总结出影响非政府组织保护农产品地理标志的关键因素，为接下来的存在问题及原因分析和对策提出打下实证基础。第四章分析了我国非政府组织保护农产品地理标志过程中存在的问题，主要包括农产品地理标志保护体系的不完善以及涉农非政府组织发展的不健全，其中重点谈到行业协会制度的不完善。第五章分析存在问题背后的原因，主要归纳为现实基础薄弱、立法不协调以及政府管理方式落后三个方面。第六章提出了完善我国非政府组织对农产品地理标志进行保护的可行性建议，主要包括制定《地理标志保护法》，将行业协会制度纳入该法中并单独成章；理顺现行的保护体制，缓解法律适用层面的冲突；完善涉农非政府组织的外部环境，提升组织的能力等。第七章对全文进行了简单的总结，指出引入非政府组织作为农产品地理标志的保护主体之一，是可行的，也是十分有必要的，我国应该加快和完善相关立法，将行业协会制度纳入法制轨道，同时促进和完善涉农非政府组织的发展，提升保护农产品地理标志的能力。</w:t>
      </w:r>
    </w:p>
    <w:p>
      <w:pPr>
        <w:spacing w:line="360" w:lineRule="auto"/>
        <w:ind w:firstLine="482" w:firstLineChars="200"/>
        <w:rPr>
          <w:rFonts w:ascii="宋体" w:hAnsi="宋体" w:eastAsia="宋体" w:cs="宋体"/>
          <w:b/>
          <w:bCs w:val="0"/>
          <w:sz w:val="24"/>
          <w:szCs w:val="24"/>
        </w:rPr>
      </w:pPr>
      <w:r>
        <w:rPr>
          <w:rFonts w:hint="eastAsia" w:ascii="宋体" w:hAnsi="宋体" w:eastAsia="宋体" w:cs="宋体"/>
          <w:b/>
          <w:bCs w:val="0"/>
          <w:sz w:val="24"/>
          <w:szCs w:val="24"/>
        </w:rPr>
        <w:t>关键词：农产品地理标志</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涉农非政府组织</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行业协会</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保护</w:t>
      </w:r>
    </w:p>
    <w:p>
      <w:pPr>
        <w:spacing w:line="360" w:lineRule="auto"/>
        <w:outlineLvl w:val="0"/>
        <w:rPr>
          <w:rFonts w:ascii="宋体" w:hAnsi="宋体" w:eastAsia="宋体" w:cs="宋体"/>
          <w:b/>
          <w:bCs w:val="0"/>
          <w:sz w:val="24"/>
          <w:szCs w:val="24"/>
        </w:rPr>
        <w:sectPr>
          <w:headerReference r:id="rId10" w:type="default"/>
          <w:footerReference r:id="rId12" w:type="default"/>
          <w:headerReference r:id="rId11" w:type="even"/>
          <w:footerReference r:id="rId13" w:type="even"/>
          <w:pgSz w:w="11906" w:h="16838"/>
          <w:pgMar w:top="1417" w:right="1417" w:bottom="1417" w:left="1417" w:header="720" w:footer="720" w:gutter="0"/>
          <w:pgNumType w:fmt="upperRoman" w:start="1"/>
          <w:cols w:space="0" w:num="1"/>
          <w:docGrid w:type="lines" w:linePitch="318" w:charSpace="0"/>
        </w:sectPr>
      </w:pPr>
      <w:bookmarkStart w:id="11" w:name="_Toc30615"/>
      <w:bookmarkStart w:id="12" w:name="_Toc17489"/>
    </w:p>
    <w:p>
      <w:pPr>
        <w:spacing w:before="318" w:beforeLines="100" w:after="318" w:afterLines="100" w:line="360" w:lineRule="auto"/>
        <w:jc w:val="center"/>
        <w:outlineLvl w:val="0"/>
        <w:rPr>
          <w:rFonts w:hint="default" w:ascii="Times New Roman" w:hAnsi="Times New Roman" w:cs="Times New Roman"/>
          <w:b/>
          <w:bCs w:val="0"/>
          <w:sz w:val="32"/>
          <w:szCs w:val="32"/>
        </w:rPr>
      </w:pPr>
      <w:bookmarkStart w:id="13" w:name="_Toc16578"/>
      <w:bookmarkStart w:id="14" w:name="_Toc4535"/>
      <w:bookmarkStart w:id="15" w:name="_Toc9166"/>
      <w:bookmarkStart w:id="16" w:name="_Toc17042"/>
      <w:bookmarkStart w:id="17" w:name="_Toc9098"/>
      <w:bookmarkStart w:id="18" w:name="_Toc22411"/>
      <w:r>
        <w:rPr>
          <w:rFonts w:hint="default" w:ascii="Times New Roman" w:hAnsi="Times New Roman" w:eastAsia="黑体" w:cs="Times New Roman"/>
          <w:b/>
          <w:bCs w:val="0"/>
          <w:sz w:val="32"/>
          <w:szCs w:val="32"/>
        </w:rPr>
        <w:t>Abstract</w:t>
      </w:r>
      <w:bookmarkEnd w:id="11"/>
      <w:bookmarkEnd w:id="12"/>
      <w:bookmarkEnd w:id="13"/>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The geographical indication of agricultural products is an important part of agricultural intellectual property rights in China, which is a sign of agricultural products originating from specific areas, product quality and related characteristics mainly depends on the natural ecological environment and historical human factors, and the geographical name of the unique agricultural products, , Is also China's "three rural" the most closely related to a special intellectual property, its own contains infinite economic value and social value, is carrying a huge wealth of intangible property. Central Committee of the document for fourteen years focused on the "three rural issues", shows the thinking and deployment of the Party Central Committee in the new century on the agricultural, rural and peasant problems in our country.</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In recent years, with the continuous development and growth of non-governmental organizations, it has played an increasingly important role in the social and public fields. The ability to participate in social management has been improved and improved. In environmental protection, medical and health care, public crisis managemeng and other aspects have gradually become a government assistant can not be ignored. At this stage, although the government attaches great importance to the protection of agricultural intellectual property rights, but because of the limitations of the traditional government unilateral protection, agricultural intellectual property rights, especially agricultural products, geographical protection is not ideal. Non-governmental organizations are different from the government, its own unique advantages, determines its participation in the protection of geographical indications of agricultural products in the process, can reduce costs and improve efficiency to meet the needs of social development. However, at present, the effect of non-governmental organizations to protect the geographical indications of agricultural products is not ideal. This is not perfect with the protection system of geographical indications of agricultural products, the development environment of non-governmental organizations is not harmonious, the relevant laws and regulations are not perfect and the construction of non-government organizations Problem related.</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Based on the protection of geographical indications of agricultural products in China from the perspective of non-governmental organizations, this paper analyzes the advantages and difficulties of non-governmental organizations to protect the geographical indications of agricultural products on the basis of combing the theoretical basis and realistic basis of the protection of geographical indications of agricultural products by non-governmental organizations. This raises the problems encountered by non-governmental organizations in the actual protection process. On this basis, the author puts forward the feasibility of perfecting the non-governmental organizations to protect the geographical indication of agricultural products: perfect the relevant legislation, optimize the external environment of the non-governmental organizations to carry out the protection work, strengthen the construction of the agricultural non-governmental organizations' own capacity, Government organizations to benign interactive relations of cooperation, non-governmental organizations to protect agricultural products geographical indications in the law, capital, personnel, policies and other aspects to give more support to improve the protection of geographical indications of agricultural products efficiency, the new situation for the party to solve the "three Agriculture issues "to provide new entry and greater support.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This paper mainly includes seven parts: The first chapter introduces the background and significance of the thesis, the research status quo at home and abroad, the research content and method of the thesis, and the innovation and the shortcomings of the thesis. The second chapter explains two core concepts and three theoretical bases, in which the origin and development of the concept of geographical indications are briefly combed. The third chapter summarizes the current situation of non-governmental organizations to protect the geographical indications of agricultural products, and compares and analyzes the development and operation characteristics of the two associations, summarizes the key factors that affect the geographical indications of non-governmental organizations to protect agricultural products, For the next existing problems and causes analysis and countermeasures proposed to lay the empirical foundation. The fourth chapter analyzes the problems existing in the process of protecting the geographical indications of agricultural products by non-governmental organizations in China, including the imperfection of the protection system of agricultural products and the imperfect development of non-governmental organizations, which focuses on the imperfection of the industry association system The The fifth chapter analyzes the reasons behind the existence of the problem, mainly summarized as the reality of weak foundation, legislative incongruity and government management behind three aspects. Chapter 6 puts forward some feasible suggestions to improve the protection of geographical indications of agricultural products by non-governmental organizations, including the development of the Law on the Protection of Geographical Indications, the incorporation of industry association system into the law and the separate rules. To clarify the existing protection system, To alleviate the conflict at the applicable level of the law; to improve the external environment of agriculture-related non-governmental organizations and to enhance the organization's ability. Chapter 7 summarizes the whole text, and points out that it is feasible and necessary for the introduction of non-governmental organizations as the main body of the protection of geographical indications of agricultural products. China should speed up and improve the relevant legislation and incorporate the industry association system into the legal system Track, while promoting and improving the development of agriculture-related non-governmental organizations to enhance the protection of agricultural products, geographical indications.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p>
    <w:p>
      <w:pPr>
        <w:ind w:firstLine="482" w:firstLineChars="200"/>
        <w:rPr>
          <w:rFonts w:hint="default" w:ascii="Times New Roman" w:hAnsi="Times New Roman" w:cs="Times New Roman"/>
          <w:b/>
          <w:bCs/>
          <w:sz w:val="24"/>
          <w:szCs w:val="24"/>
        </w:rPr>
      </w:pPr>
      <w:r>
        <w:rPr>
          <w:rFonts w:hint="default" w:ascii="Times New Roman" w:hAnsi="Times New Roman" w:cs="Times New Roman"/>
          <w:b/>
          <w:bCs/>
          <w:sz w:val="24"/>
          <w:szCs w:val="24"/>
        </w:rPr>
        <w:t>Keywords:Agricultural</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products geographical indication</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Agriculture-related non-governmental organizations</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Industry Association</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Protect</w:t>
      </w:r>
    </w:p>
    <w:p>
      <w:pPr>
        <w:rPr>
          <w:rFonts w:hint="default" w:ascii="Times New Roman" w:hAnsi="Times New Roman" w:cs="Times New Roman"/>
          <w:b/>
          <w:bCs/>
          <w:sz w:val="24"/>
          <w:szCs w:val="24"/>
        </w:rPr>
        <w:sectPr>
          <w:headerReference r:id="rId14" w:type="first"/>
          <w:footerReference r:id="rId15" w:type="default"/>
          <w:footnotePr>
            <w:numFmt w:val="decimalEnclosedCircleChinese"/>
            <w:numRestart w:val="eachPage"/>
          </w:footnotePr>
          <w:pgSz w:w="11906" w:h="16838"/>
          <w:pgMar w:top="1417" w:right="1417" w:bottom="1417" w:left="1417" w:header="720" w:footer="720" w:gutter="0"/>
          <w:pgNumType w:fmt="upperRoman"/>
          <w:cols w:space="0" w:num="1"/>
          <w:docGrid w:type="lines" w:linePitch="318" w:charSpace="0"/>
        </w:sectPr>
      </w:pPr>
      <w:bookmarkStart w:id="19" w:name="_Toc1879"/>
      <w:bookmarkStart w:id="20" w:name="_Toc13927"/>
      <w:bookmarkStart w:id="21" w:name="_Toc25509"/>
      <w:bookmarkStart w:id="22" w:name="_Toc1375"/>
      <w:bookmarkStart w:id="23" w:name="_Toc11771"/>
      <w:bookmarkStart w:id="24" w:name="_Toc19746"/>
      <w:bookmarkStart w:id="25" w:name="_Toc24275"/>
      <w:bookmarkStart w:id="26" w:name="_Toc5464"/>
    </w:p>
    <w:p>
      <w:pPr>
        <w:pStyle w:val="2"/>
        <w:keepNext/>
        <w:keepLines/>
        <w:pageBreakBefore w:val="0"/>
        <w:widowControl w:val="0"/>
        <w:kinsoku/>
        <w:wordWrap/>
        <w:overflowPunct/>
        <w:topLinePunct w:val="0"/>
        <w:autoSpaceDE/>
        <w:autoSpaceDN/>
        <w:bidi w:val="0"/>
        <w:adjustRightInd/>
        <w:snapToGrid w:val="0"/>
        <w:spacing w:beforeLines="-2147483648" w:afterLines="-2147483648"/>
        <w:textAlignment w:val="auto"/>
        <w:rPr>
          <w:rFonts w:hint="eastAsia" w:ascii="黑体" w:hAnsi="黑体" w:eastAsia="黑体" w:cs="黑体"/>
          <w:bCs/>
          <w:szCs w:val="44"/>
        </w:rPr>
      </w:pPr>
      <w:bookmarkStart w:id="27" w:name="_Toc24305"/>
      <w:r>
        <w:rPr>
          <w:rFonts w:hint="eastAsia" w:ascii="黑体" w:hAnsi="黑体" w:eastAsia="黑体" w:cs="黑体"/>
          <w:bCs/>
          <w:szCs w:val="44"/>
        </w:rPr>
        <w:t>1 绪论</w:t>
      </w:r>
      <w:bookmarkEnd w:id="19"/>
      <w:bookmarkEnd w:id="20"/>
      <w:bookmarkEnd w:id="21"/>
      <w:bookmarkEnd w:id="22"/>
      <w:bookmarkEnd w:id="23"/>
      <w:bookmarkEnd w:id="24"/>
      <w:bookmarkEnd w:id="25"/>
      <w:bookmarkEnd w:id="26"/>
      <w:bookmarkEnd w:id="27"/>
    </w:p>
    <w:p>
      <w:pPr>
        <w:pStyle w:val="3"/>
        <w:keepNext/>
        <w:keepLines/>
        <w:pageBreakBefore w:val="0"/>
        <w:widowControl w:val="0"/>
        <w:kinsoku/>
        <w:wordWrap/>
        <w:overflowPunct/>
        <w:topLinePunct w:val="0"/>
        <w:autoSpaceDE/>
        <w:autoSpaceDN/>
        <w:bidi w:val="0"/>
        <w:adjustRightInd/>
        <w:snapToGrid w:val="0"/>
        <w:spacing w:beforeLines="-2147483648" w:after="100" w:afterLines="-2147483648" w:afterAutospacing="1"/>
        <w:ind w:firstLine="0" w:firstLineChars="0"/>
        <w:textAlignment w:val="auto"/>
        <w:rPr>
          <w:rFonts w:hint="eastAsia" w:ascii="黑体" w:hAnsi="黑体" w:eastAsia="黑体" w:cs="黑体"/>
          <w:bCs/>
          <w:szCs w:val="32"/>
        </w:rPr>
      </w:pPr>
      <w:bookmarkStart w:id="28" w:name="_Toc23434"/>
      <w:bookmarkStart w:id="29" w:name="_Toc31280"/>
      <w:bookmarkStart w:id="30" w:name="_Toc31307"/>
      <w:bookmarkStart w:id="31" w:name="_Toc7966"/>
      <w:bookmarkStart w:id="32" w:name="_Toc9393"/>
      <w:bookmarkStart w:id="33" w:name="_Toc16913"/>
      <w:bookmarkStart w:id="34" w:name="_Toc13098"/>
      <w:bookmarkStart w:id="35" w:name="_Toc3827"/>
      <w:bookmarkStart w:id="36" w:name="_Toc18989"/>
      <w:r>
        <w:rPr>
          <w:rFonts w:hint="eastAsia" w:ascii="黑体" w:hAnsi="黑体" w:eastAsia="黑体" w:cs="黑体"/>
          <w:bCs/>
          <w:szCs w:val="32"/>
        </w:rPr>
        <w:t>1.1 选题背景</w:t>
      </w:r>
      <w:bookmarkEnd w:id="28"/>
      <w:bookmarkEnd w:id="29"/>
      <w:bookmarkEnd w:id="30"/>
      <w:r>
        <w:rPr>
          <w:rFonts w:hint="eastAsia" w:ascii="黑体" w:hAnsi="黑体" w:eastAsia="黑体" w:cs="黑体"/>
          <w:bCs/>
          <w:szCs w:val="32"/>
        </w:rPr>
        <w:t>及研究意义</w:t>
      </w:r>
      <w:bookmarkEnd w:id="31"/>
      <w:bookmarkEnd w:id="32"/>
      <w:bookmarkEnd w:id="33"/>
      <w:bookmarkEnd w:id="34"/>
      <w:bookmarkEnd w:id="35"/>
      <w:bookmarkEnd w:id="36"/>
    </w:p>
    <w:p>
      <w:pPr>
        <w:pStyle w:val="4"/>
        <w:keepNext/>
        <w:keepLines/>
        <w:pageBreakBefore w:val="0"/>
        <w:widowControl w:val="0"/>
        <w:kinsoku/>
        <w:wordWrap/>
        <w:overflowPunct/>
        <w:topLinePunct w:val="0"/>
        <w:autoSpaceDE/>
        <w:autoSpaceDN/>
        <w:bidi w:val="0"/>
        <w:adjustRightInd/>
        <w:snapToGrid/>
        <w:spacing w:beforeLines="0" w:after="100" w:afterAutospacing="1"/>
        <w:ind w:firstLine="480"/>
        <w:textAlignment w:val="auto"/>
        <w:rPr>
          <w:rFonts w:hint="eastAsia" w:ascii="Times New Roman" w:hAnsi="Times New Roman" w:eastAsia="宋体" w:cs="Times New Roman"/>
          <w:bCs w:val="0"/>
          <w:kern w:val="2"/>
          <w:sz w:val="24"/>
          <w:szCs w:val="24"/>
          <w:lang w:val="en-US" w:eastAsia="zh-CN" w:bidi="ar-SA"/>
        </w:rPr>
      </w:pPr>
      <w:bookmarkStart w:id="37" w:name="_Toc694"/>
      <w:bookmarkStart w:id="38" w:name="_Toc31562"/>
      <w:bookmarkStart w:id="39" w:name="_Toc23740"/>
      <w:bookmarkStart w:id="40" w:name="_Toc28184"/>
      <w:bookmarkStart w:id="41" w:name="_Toc4669"/>
      <w:r>
        <w:rPr>
          <w:rFonts w:hint="eastAsia" w:ascii="Times New Roman" w:hAnsi="Times New Roman" w:eastAsia="宋体" w:cs="Times New Roman"/>
          <w:bCs w:val="0"/>
          <w:kern w:val="2"/>
          <w:sz w:val="24"/>
          <w:szCs w:val="24"/>
          <w:lang w:val="en-US" w:eastAsia="zh-CN" w:bidi="ar-SA"/>
        </w:rPr>
        <w:t>保护和开发农产品地理标志是解决当前“三农问题”的重要途径，是保护农产品资源、促进农业产业化、推进农业现代化、增强农产品国际影响力与全球战略营销的关键举措，也与我国当下的“供给侧改革”与“新常态经济”相吻合。另外，我国非政府组织在近年来得到了快速的发展，在社会众多领域发挥了重要的作用。本文正是在此背景下，以非政府组织的保护为视角，对农产品地理标志保护的相关问题进行研究，具有一定的理论意义和实践意义。</w:t>
      </w:r>
    </w:p>
    <w:p>
      <w:pPr>
        <w:pStyle w:val="4"/>
        <w:spacing w:before="318" w:after="318"/>
        <w:ind w:firstLine="0" w:firstLineChars="0"/>
        <w:rPr>
          <w:rFonts w:ascii="宋体" w:hAnsi="宋体"/>
        </w:rPr>
      </w:pPr>
      <w:r>
        <w:rPr>
          <w:rFonts w:hint="eastAsia" w:ascii="黑体" w:hAnsi="黑体" w:cs="黑体"/>
          <w:bCs w:val="0"/>
        </w:rPr>
        <w:t>1.1.1 选题背景</w:t>
      </w:r>
      <w:bookmarkEnd w:id="37"/>
      <w:bookmarkEnd w:id="38"/>
      <w:bookmarkEnd w:id="39"/>
      <w:bookmarkEnd w:id="40"/>
      <w:bookmarkEnd w:id="41"/>
    </w:p>
    <w:p>
      <w:pPr>
        <w:spacing w:line="360" w:lineRule="auto"/>
        <w:ind w:firstLine="480" w:firstLineChars="200"/>
        <w:rPr>
          <w:rFonts w:ascii="宋体" w:hAnsi="宋体"/>
          <w:sz w:val="24"/>
        </w:rPr>
      </w:pPr>
      <w:r>
        <w:rPr>
          <w:rFonts w:hint="eastAsia" w:ascii="宋体" w:hAnsi="宋体"/>
          <w:sz w:val="24"/>
        </w:rPr>
        <w:t>随着经济全球化和知识经济的快速发展，知识产权在国际竞争和国家发展中的重要性越来越突出，并且已经成为我国建设创新型国家和实现中华民族伟大复兴的关键一环。农业知识产权是我国知识产权体系的一个重要组成部分，对于保障我国经济社会的长远发展特别是农业经济的发展意义重大。而农产品地理标志权又是农业知识产权最重要的组成部分之一，在此背景下，对农产品地理标志进行保护在世界范围内受到越来越多的关注和重视。农产品地理标志是重要的农业物质和非物质文化遗产，是农业知识产权的重要形式，也是传统农耕文明的重要体现，发展和保护好农产品地理标志，对于传承农业历史文化、打造区域特色品牌、增强农业竞争力、推进农村发展、增加农民收入，以及提高农产品安全质量水平，具有非常重要的意义。</w:t>
      </w:r>
    </w:p>
    <w:p>
      <w:pPr>
        <w:spacing w:line="360" w:lineRule="auto"/>
        <w:ind w:firstLine="480" w:firstLineChars="200"/>
        <w:rPr>
          <w:rFonts w:ascii="宋体" w:hAnsi="宋体"/>
          <w:sz w:val="24"/>
        </w:rPr>
      </w:pPr>
      <w:r>
        <w:rPr>
          <w:rFonts w:hint="eastAsia" w:ascii="宋体" w:hAnsi="宋体"/>
          <w:sz w:val="24"/>
        </w:rPr>
        <w:t>二十世纪八十年代以来，新公共管理运动在全球范围兴起和发展，它颠覆了传统公共行政的管理理念。九十年代，“治理”成为公共管理的核心概念。治理理论认为，单纯依靠政府管理公共领域已出现诸多问题，公共事务的治理需要多个主体的参与，企业、非政府组织、公民都可以成为公共事务治理的主体。非政府组织具有非营利性、非政府性、运转灵活、密切联系群众的特点，能够凭借自身优势弥补“政府失灵”和“市场失灵”的缺陷，满足多样化的需求。自改革开放以来，我国各类非政府组织也得到了迅速发展，已经成为与政府机关、企业并列的第三大社会组织，并且已经在社会主义物质文明、精神文明和政治文明中都发挥着积极的作用。</w:t>
      </w:r>
    </w:p>
    <w:p>
      <w:pPr>
        <w:spacing w:line="360" w:lineRule="auto"/>
        <w:ind w:firstLine="480" w:firstLineChars="200"/>
        <w:rPr>
          <w:rFonts w:ascii="宋体" w:hAnsi="宋体"/>
          <w:sz w:val="24"/>
        </w:rPr>
      </w:pPr>
      <w:r>
        <w:rPr>
          <w:rFonts w:hint="eastAsia" w:ascii="宋体" w:hAnsi="宋体"/>
          <w:sz w:val="24"/>
        </w:rPr>
        <w:t>通过非政府组织对农产品地理标志进行保护，有着政府部门无法匹及的天然优势。首先，在信息搜集方面，因为涉农非政府组织由农民和农产品经营者组建而成，扎根在基层，能够及时和完整的了解行业内的信息，以便于做出策略应对；其次，在力量整合方面，涉农非政府组织的成员可以是生产者、经营者，也可以是农业技术工作者等，将多方主体汇集在一起，有利于协调各方的利益，达成行业内的一致规范，整合各方的保护力量，成为行业的代表，应对来自国内外贸易中的威胁；最后，在行业自律方面，涉农非政府组织是行业内各利益相关者的联合会，有利于对地理标志的生产和使用进行全方位的监督，也有利于对地理标志的生产者提供技术咨询和培训。事实上，通过非政府组织保护农产品地理标志的优势远不止这些，国外也早就进行了相关研究和实践，在地理标志发源地和发展最发达的法国，早在上世纪就开始了通过行业协会对地理标志进行保护的工作。经过一个世纪的发展，法国已经建成了世界上最完备、最健全的地理标志保护制度，包括受控原产地名称制度、系统的注册制度、行政管理与保护制度、司法确认制度及行业协会制度等。其中行业协会更是在注册和申请地理标志、为政府与企业搭建沟通桥梁、协助政府机构协调生产者、经营者等各方利益、监督使用地理标志的行为、对地理标志生产者提供技术咨询和培训、协助生产者保障地理标志的质量等方面发挥着巨大的作用，成为推动法国走向世界地理标志保护最强国的重要力量。</w:t>
      </w:r>
    </w:p>
    <w:p>
      <w:pPr>
        <w:spacing w:line="360" w:lineRule="auto"/>
        <w:ind w:firstLine="480" w:firstLineChars="200"/>
        <w:rPr>
          <w:rFonts w:ascii="宋体" w:hAnsi="宋体"/>
          <w:sz w:val="24"/>
        </w:rPr>
      </w:pPr>
      <w:r>
        <w:rPr>
          <w:rFonts w:hint="eastAsia" w:ascii="宋体" w:hAnsi="宋体"/>
          <w:sz w:val="24"/>
        </w:rPr>
        <w:t>我国目前对农产品地理标志保护的研究中，从政府角度展开的研究已有很多文献，而从非政府组织视角研究农产品地理标志的保护问题却相当缺乏。基于以上原因，本文题目确定为“我国农产品地理标志保护研究——以非政府组织为视角”，力求结合管理学知识和法学知识，对农产品地理标志保护事业中非政府组织的作用和扮演的角色进行一个科学的阐述，并对我国非政府组织保护农产品地理标志问题进行深入的探讨。</w:t>
      </w:r>
    </w:p>
    <w:p>
      <w:pPr>
        <w:pStyle w:val="4"/>
        <w:spacing w:before="318" w:after="318"/>
        <w:ind w:firstLine="0" w:firstLineChars="0"/>
        <w:rPr>
          <w:rFonts w:ascii="宋体" w:hAnsi="宋体"/>
        </w:rPr>
      </w:pPr>
      <w:bookmarkStart w:id="42" w:name="_Toc11030"/>
      <w:bookmarkStart w:id="43" w:name="_Toc29129"/>
      <w:bookmarkStart w:id="44" w:name="_Toc7173"/>
      <w:bookmarkStart w:id="45" w:name="_Toc481096285"/>
      <w:bookmarkStart w:id="46" w:name="_Toc28140"/>
      <w:bookmarkStart w:id="47" w:name="_Toc3242"/>
      <w:bookmarkStart w:id="48" w:name="_Toc3897"/>
      <w:bookmarkStart w:id="49" w:name="_Toc12954"/>
      <w:bookmarkStart w:id="50" w:name="_Toc32657"/>
      <w:r>
        <w:rPr>
          <w:rFonts w:hint="eastAsia" w:ascii="黑体" w:hAnsi="黑体" w:cs="黑体"/>
          <w:bCs w:val="0"/>
        </w:rPr>
        <w:t>1.1.2 研究意义</w:t>
      </w:r>
      <w:bookmarkEnd w:id="42"/>
      <w:bookmarkEnd w:id="43"/>
      <w:bookmarkEnd w:id="44"/>
      <w:bookmarkEnd w:id="45"/>
      <w:bookmarkEnd w:id="46"/>
      <w:bookmarkEnd w:id="47"/>
      <w:bookmarkEnd w:id="48"/>
      <w:bookmarkEnd w:id="49"/>
      <w:bookmarkEnd w:id="50"/>
    </w:p>
    <w:p>
      <w:pPr>
        <w:spacing w:line="360" w:lineRule="auto"/>
        <w:ind w:firstLine="480" w:firstLineChars="200"/>
        <w:rPr>
          <w:rFonts w:ascii="宋体" w:hAnsi="宋体"/>
          <w:sz w:val="24"/>
        </w:rPr>
      </w:pPr>
      <w:r>
        <w:rPr>
          <w:rFonts w:hint="eastAsia" w:ascii="宋体" w:hAnsi="宋体"/>
          <w:sz w:val="24"/>
        </w:rPr>
        <w:t>理论层面：当今社会，我国与农产品地理标志相关联的学科基本属于法学范畴，从公共管理领域着手的研究较少。农产品地理标志作为一个“准公共物品”，从非政府组织视角研究对其的保护具有重要的意义。在社会转型期，通过从非政府组织视角研究农产品地理标志的保护问题，有利于正确处理政府、社会和非政府组织在知识产权保护体系中的关系，有利于对我国非政府组织保护知识产权在理念、机制体制、方法上有新的启发和探索，理论上对多主体合作保护农业知识产权特别是农产品地理标志的有效途径提供了新的思路，有利于为非政府组织保护农产品地理标志提供经验和指导。</w:t>
      </w:r>
    </w:p>
    <w:p>
      <w:pPr>
        <w:spacing w:line="360" w:lineRule="auto"/>
        <w:ind w:firstLine="480" w:firstLineChars="200"/>
        <w:rPr>
          <w:rFonts w:ascii="宋体" w:hAnsi="宋体"/>
          <w:sz w:val="24"/>
        </w:rPr>
      </w:pPr>
      <w:bookmarkStart w:id="51" w:name="_Toc13496"/>
      <w:bookmarkStart w:id="52" w:name="_Toc18717"/>
      <w:bookmarkStart w:id="53" w:name="_Toc17514"/>
      <w:r>
        <w:rPr>
          <w:rFonts w:hint="eastAsia" w:ascii="宋体" w:hAnsi="宋体"/>
          <w:sz w:val="24"/>
        </w:rPr>
        <w:t>现实层面：在大力促进农业经济转型升级，着力破解“三农问题”以及全面建成小康社会的今天，农产品地理标志发挥着越来越重要的作用，它所蕴含的经济价值和文化价值，使其能够在竞争激烈的农产品市场上脱颖而出，在促进农村经济、增加农民收入方面有着绝对的优势。另外，随着国际经济贸易的愈发频繁和激烈，要想在国际贸易中站稳脚跟，必须发挥我们的优势，我国是农业大国，地理标志资源储量丰富，所以，大力开发和保护农产品地理标志，也是应对国际贸易竞争的需要。我国目前由政府部门主导地理标志的保护工作已经出现了不少问题，而通过引入非政府组织来保护地理标志，对于促进我国涉农非政府组织的发展以及提高农产品地理标志保护的效率都有着积极的作用。所以加强对农产品地理标志的开发与保护力度，既有理论意义，也有实践意义。</w:t>
      </w:r>
    </w:p>
    <w:p>
      <w:pPr>
        <w:spacing w:before="318" w:beforeLines="100" w:after="318" w:afterLines="100" w:line="360" w:lineRule="auto"/>
        <w:outlineLvl w:val="1"/>
        <w:rPr>
          <w:rFonts w:ascii="黑体" w:hAnsi="宋体" w:eastAsia="黑体" w:cs="宋体"/>
          <w:bCs/>
          <w:sz w:val="28"/>
          <w:szCs w:val="28"/>
        </w:rPr>
      </w:pPr>
      <w:bookmarkStart w:id="54" w:name="_Toc8138"/>
      <w:bookmarkStart w:id="55" w:name="_Toc22731"/>
      <w:bookmarkStart w:id="56" w:name="_Toc31836"/>
      <w:bookmarkStart w:id="57" w:name="_Toc15349"/>
      <w:bookmarkStart w:id="58" w:name="_Toc25093"/>
      <w:bookmarkStart w:id="59" w:name="_Toc22771"/>
      <w:r>
        <w:rPr>
          <w:rFonts w:hint="eastAsia" w:ascii="黑体" w:hAnsi="宋体" w:eastAsia="黑体" w:cs="宋体"/>
          <w:bCs/>
          <w:sz w:val="28"/>
          <w:szCs w:val="28"/>
        </w:rPr>
        <w:t>1.2 国内外研究现状</w:t>
      </w:r>
      <w:bookmarkEnd w:id="51"/>
      <w:bookmarkEnd w:id="52"/>
      <w:bookmarkEnd w:id="53"/>
      <w:bookmarkEnd w:id="54"/>
      <w:bookmarkEnd w:id="55"/>
      <w:bookmarkEnd w:id="56"/>
      <w:bookmarkEnd w:id="57"/>
      <w:bookmarkEnd w:id="58"/>
      <w:bookmarkEnd w:id="59"/>
    </w:p>
    <w:p>
      <w:pPr>
        <w:spacing w:line="360" w:lineRule="auto"/>
        <w:ind w:firstLine="480" w:firstLineChars="200"/>
        <w:rPr>
          <w:rFonts w:ascii="宋体" w:hAnsi="宋体"/>
          <w:sz w:val="24"/>
        </w:rPr>
      </w:pPr>
      <w:r>
        <w:rPr>
          <w:rFonts w:hint="eastAsia" w:ascii="宋体" w:hAnsi="宋体"/>
          <w:sz w:val="24"/>
        </w:rPr>
        <w:t>从非政府组织视角研究农产品地理标志的保护实际上涉及非政府组织和农产品地理标志两个领域。从国内外现有的研究成果来看，针对非政府组织保护农产品地理标志方面的研究难寻踪迹，关于农产品地理标志领域和非政府组织领域各自的研究倒有不少，所以目前只能分别从两个方面对国内外的研究现状进行综述。</w:t>
      </w:r>
    </w:p>
    <w:p>
      <w:pPr>
        <w:spacing w:before="318" w:beforeLines="100" w:after="318" w:afterLines="100" w:line="360" w:lineRule="auto"/>
        <w:outlineLvl w:val="2"/>
        <w:rPr>
          <w:rFonts w:ascii="黑体" w:hAnsi="黑体" w:eastAsia="黑体" w:cs="黑体"/>
          <w:sz w:val="24"/>
        </w:rPr>
      </w:pPr>
      <w:bookmarkStart w:id="60" w:name="_Toc1855"/>
      <w:bookmarkStart w:id="61" w:name="_Toc1900"/>
      <w:bookmarkStart w:id="62" w:name="_Toc10252"/>
      <w:bookmarkStart w:id="63" w:name="_Toc23781"/>
      <w:bookmarkStart w:id="64" w:name="_Toc31879"/>
      <w:bookmarkStart w:id="65" w:name="_Toc1426"/>
      <w:bookmarkStart w:id="66" w:name="_Toc15098"/>
      <w:bookmarkStart w:id="67" w:name="_Toc18861"/>
      <w:r>
        <w:rPr>
          <w:rFonts w:hint="eastAsia" w:ascii="黑体" w:hAnsi="黑体" w:eastAsia="黑体" w:cs="黑体"/>
          <w:sz w:val="24"/>
        </w:rPr>
        <w:t>1.2.1 国外相关研究现状</w:t>
      </w:r>
      <w:bookmarkEnd w:id="60"/>
      <w:bookmarkEnd w:id="61"/>
      <w:bookmarkEnd w:id="62"/>
      <w:bookmarkEnd w:id="63"/>
      <w:bookmarkEnd w:id="64"/>
      <w:bookmarkEnd w:id="65"/>
      <w:bookmarkEnd w:id="66"/>
      <w:bookmarkEnd w:id="67"/>
    </w:p>
    <w:p>
      <w:pPr>
        <w:spacing w:before="318" w:beforeLines="100" w:after="318" w:afterLines="100" w:line="360" w:lineRule="auto"/>
        <w:outlineLvl w:val="3"/>
        <w:rPr>
          <w:rFonts w:ascii="宋体" w:hAnsi="宋体"/>
          <w:color w:val="FF0000"/>
          <w:sz w:val="24"/>
        </w:rPr>
      </w:pPr>
      <w:bookmarkStart w:id="68" w:name="_Toc482298894"/>
      <w:bookmarkStart w:id="69" w:name="_Toc6420"/>
      <w:bookmarkStart w:id="70" w:name="_Toc481096290"/>
      <w:bookmarkStart w:id="71" w:name="_Toc10877"/>
      <w:bookmarkStart w:id="72" w:name="_Toc28541"/>
      <w:r>
        <w:rPr>
          <w:rFonts w:hint="eastAsia" w:ascii="黑体" w:hAnsi="黑体" w:eastAsia="黑体" w:cs="黑体"/>
          <w:sz w:val="24"/>
        </w:rPr>
        <w:t>1.2.1.1 农产品地理标志保护的研究现状</w:t>
      </w:r>
      <w:bookmarkEnd w:id="68"/>
      <w:bookmarkEnd w:id="69"/>
      <w:bookmarkEnd w:id="70"/>
      <w:bookmarkEnd w:id="71"/>
      <w:bookmarkEnd w:id="72"/>
    </w:p>
    <w:p>
      <w:pPr>
        <w:spacing w:line="360" w:lineRule="auto"/>
        <w:ind w:firstLine="480" w:firstLineChars="200"/>
        <w:rPr>
          <w:rFonts w:ascii="宋体" w:hAnsi="宋体" w:eastAsia="宋体" w:cs="宋体"/>
          <w:sz w:val="24"/>
        </w:rPr>
      </w:pPr>
      <w:r>
        <w:rPr>
          <w:rFonts w:hint="eastAsia" w:ascii="宋体" w:hAnsi="宋体" w:eastAsia="宋体" w:cs="宋体"/>
          <w:sz w:val="24"/>
        </w:rPr>
        <w:t>国外对于农产品地理标志的保护早从上个世纪就已经开始了，随着地理标志的经济价值和社会价值的越发凸显，人们对其的重视程度日益提高，欧美发达国家也都对农产品地理标志采取了相应的立法保护和研究。</w:t>
      </w:r>
    </w:p>
    <w:p>
      <w:pPr>
        <w:spacing w:line="360" w:lineRule="auto"/>
        <w:ind w:firstLine="480" w:firstLineChars="200"/>
        <w:rPr>
          <w:rFonts w:ascii="宋体" w:hAnsi="宋体" w:eastAsia="宋体" w:cs="宋体"/>
          <w:sz w:val="24"/>
        </w:rPr>
      </w:pPr>
      <w:r>
        <w:rPr>
          <w:rFonts w:hint="eastAsia" w:ascii="宋体" w:hAnsi="宋体" w:eastAsia="宋体" w:cs="宋体"/>
          <w:sz w:val="24"/>
        </w:rPr>
        <w:t>关于地理标志的保护问题，美国学者</w:t>
      </w:r>
      <w:r>
        <w:rPr>
          <w:rFonts w:ascii="Times New Roman" w:hAnsi="Times New Roman" w:eastAsia="宋体" w:cs="Times New Roman"/>
          <w:sz w:val="24"/>
        </w:rPr>
        <w:t>Inessa Shalevich</w:t>
      </w:r>
      <w:r>
        <w:rPr>
          <w:rFonts w:hint="eastAsia" w:ascii="宋体" w:hAnsi="宋体" w:eastAsia="宋体" w:cs="宋体"/>
          <w:sz w:val="24"/>
        </w:rPr>
        <w:t>指出，美国采取的是以单一的商标法体系保护地理标志，没有使用其他资源进行额外保护，该模式以救济为主，鼓励权利人采取诉讼的手段进行维权，无需被动等待政府部门采取措施。</w:t>
      </w:r>
      <w:r>
        <w:rPr>
          <w:rStyle w:val="35"/>
          <w:rFonts w:hint="eastAsia" w:ascii="宋体" w:hAnsi="宋体" w:eastAsia="宋体" w:cs="宋体"/>
          <w:sz w:val="24"/>
        </w:rPr>
        <w:footnoteReference w:id="0"/>
      </w:r>
      <w:r>
        <w:rPr>
          <w:rFonts w:hint="eastAsia" w:ascii="Times New Roman" w:hAnsi="Times New Roman" w:eastAsia="宋体" w:cs="Times New Roman"/>
          <w:sz w:val="24"/>
        </w:rPr>
        <w:t>也有学者总结出</w:t>
      </w:r>
      <w:r>
        <w:rPr>
          <w:rFonts w:hint="eastAsia" w:ascii="宋体" w:hAnsi="宋体" w:eastAsia="宋体" w:cs="宋体"/>
          <w:sz w:val="24"/>
        </w:rPr>
        <w:t>欧盟的做法是各国以共同的农业政策为基础，建立起以专门法为主，普通法为辅的完备的保护体系。美国学者</w:t>
      </w:r>
      <w:r>
        <w:rPr>
          <w:rFonts w:ascii="Times New Roman" w:hAnsi="Times New Roman" w:eastAsia="宋体" w:cs="Times New Roman"/>
          <w:sz w:val="24"/>
        </w:rPr>
        <w:t>Bruce Babcock</w:t>
      </w:r>
      <w:r>
        <w:rPr>
          <w:rFonts w:hint="eastAsia" w:ascii="宋体" w:hAnsi="宋体" w:eastAsia="宋体" w:cs="宋体"/>
          <w:sz w:val="24"/>
        </w:rPr>
        <w:t>详细地阐述了三种农业保护制度——欧盟的地域差别、美国的认证标志和</w:t>
      </w:r>
      <w:r>
        <w:rPr>
          <w:rFonts w:hint="default" w:ascii="Times New Roman" w:hAnsi="Times New Roman" w:eastAsia="宋体" w:cs="Times New Roman"/>
          <w:sz w:val="24"/>
        </w:rPr>
        <w:t>WTO</w:t>
      </w:r>
      <w:r>
        <w:rPr>
          <w:rFonts w:hint="eastAsia" w:ascii="宋体" w:hAnsi="宋体" w:eastAsia="宋体" w:cs="宋体"/>
          <w:sz w:val="24"/>
        </w:rPr>
        <w:t>地理标志保护，并且比较了三种保护制度下各类商品的保护形式，以促进农产品区分。</w:t>
      </w:r>
      <w:r>
        <w:rPr>
          <w:rStyle w:val="35"/>
          <w:rFonts w:hint="eastAsia" w:ascii="宋体" w:hAnsi="宋体" w:eastAsia="宋体" w:cs="宋体"/>
          <w:sz w:val="24"/>
        </w:rPr>
        <w:footnoteReference w:id="1"/>
      </w:r>
      <w:r>
        <w:rPr>
          <w:rFonts w:ascii="Times New Roman" w:hAnsi="Times New Roman" w:eastAsia="宋体" w:cs="Times New Roman"/>
          <w:sz w:val="24"/>
        </w:rPr>
        <w:t>Bradley M.Bashaw</w:t>
      </w:r>
      <w:r>
        <w:rPr>
          <w:rFonts w:hint="eastAsia" w:ascii="宋体" w:hAnsi="宋体" w:eastAsia="宋体" w:cs="宋体"/>
          <w:sz w:val="24"/>
        </w:rPr>
        <w:t>基于美国商标法保护体系的立场，指出中国目前采取的商标法和专门法双重保护模式，暴露出了中国目前存在的“相对不确定的立法质量”的现状，需要对相关立法进行改善，协调法律实践中存在的冲突。</w:t>
      </w:r>
      <w:r>
        <w:rPr>
          <w:rStyle w:val="35"/>
          <w:rFonts w:hint="eastAsia" w:ascii="宋体" w:hAnsi="宋体" w:eastAsia="宋体" w:cs="宋体"/>
          <w:sz w:val="24"/>
        </w:rPr>
        <w:footnoteReference w:id="2"/>
      </w:r>
    </w:p>
    <w:p>
      <w:pPr>
        <w:spacing w:line="360" w:lineRule="auto"/>
        <w:ind w:firstLine="480" w:firstLineChars="200"/>
        <w:rPr>
          <w:rFonts w:ascii="宋体" w:hAnsi="宋体" w:eastAsia="宋体" w:cs="宋体"/>
          <w:sz w:val="24"/>
        </w:rPr>
      </w:pPr>
      <w:r>
        <w:rPr>
          <w:rFonts w:hint="eastAsia" w:ascii="宋体" w:hAnsi="宋体" w:eastAsia="宋体" w:cs="宋体"/>
          <w:sz w:val="24"/>
        </w:rPr>
        <w:t>关于国际贸易中的地理标志的保护方式问题，</w:t>
      </w:r>
      <w:r>
        <w:rPr>
          <w:rFonts w:ascii="Times New Roman" w:hAnsi="Times New Roman" w:eastAsia="宋体" w:cs="Times New Roman"/>
          <w:sz w:val="24"/>
        </w:rPr>
        <w:t>Amy P.Cotton</w:t>
      </w:r>
      <w:r>
        <w:rPr>
          <w:rFonts w:hint="eastAsia" w:ascii="宋体" w:hAnsi="宋体" w:eastAsia="宋体" w:cs="宋体"/>
          <w:sz w:val="24"/>
        </w:rPr>
        <w:t>认为，应该将重点聚焦在建立公开公平、透明高效的国内保护系统上，而不是通过谈判对各国的保护体系施加外域影响。</w:t>
      </w:r>
      <w:r>
        <w:rPr>
          <w:rStyle w:val="35"/>
          <w:rFonts w:hint="eastAsia" w:ascii="宋体" w:hAnsi="宋体" w:eastAsia="宋体" w:cs="宋体"/>
          <w:sz w:val="24"/>
        </w:rPr>
        <w:footnoteReference w:id="3"/>
      </w:r>
    </w:p>
    <w:p>
      <w:pPr>
        <w:spacing w:line="360" w:lineRule="auto"/>
        <w:ind w:firstLine="480" w:firstLineChars="200"/>
        <w:rPr>
          <w:rFonts w:ascii="宋体" w:hAnsi="宋体" w:eastAsia="宋体" w:cs="宋体"/>
          <w:sz w:val="24"/>
        </w:rPr>
      </w:pPr>
      <w:r>
        <w:rPr>
          <w:rFonts w:hint="eastAsia" w:ascii="宋体" w:hAnsi="宋体" w:eastAsia="宋体" w:cs="宋体"/>
          <w:sz w:val="24"/>
        </w:rPr>
        <w:t>关于保护农产品地理标志的价值问题，</w:t>
      </w:r>
      <w:r>
        <w:rPr>
          <w:rFonts w:ascii="Times New Roman" w:hAnsi="Times New Roman" w:eastAsia="宋体" w:cs="Times New Roman"/>
          <w:sz w:val="24"/>
        </w:rPr>
        <w:t>Bilge Dogan</w:t>
      </w:r>
      <w:r>
        <w:rPr>
          <w:rFonts w:hint="eastAsia" w:ascii="宋体" w:hAnsi="宋体" w:eastAsia="宋体" w:cs="宋体"/>
          <w:sz w:val="24"/>
        </w:rPr>
        <w:t>和</w:t>
      </w:r>
      <w:r>
        <w:rPr>
          <w:rFonts w:ascii="Times New Roman" w:hAnsi="Times New Roman" w:eastAsia="宋体" w:cs="Times New Roman"/>
          <w:sz w:val="24"/>
        </w:rPr>
        <w:t>Ummuhan Gokovali</w:t>
      </w:r>
      <w:r>
        <w:rPr>
          <w:rFonts w:hint="eastAsia" w:ascii="宋体" w:hAnsi="宋体" w:eastAsia="宋体" w:cs="宋体"/>
          <w:sz w:val="24"/>
        </w:rPr>
        <w:t>认为，农产品通过申请和注册为地理标志，一方面可以借地理标志农产品的高品质特性宣传声誉和促进营销，另一方面，通过注册为地理标志以获得更多的重视和保护，可以有效的防止假冒伪劣等侵权行为的发生，从而有利于促进区域经济增长。</w:t>
      </w:r>
      <w:r>
        <w:rPr>
          <w:rStyle w:val="35"/>
          <w:rFonts w:hint="eastAsia" w:ascii="宋体" w:hAnsi="宋体" w:eastAsia="宋体" w:cs="宋体"/>
          <w:sz w:val="24"/>
        </w:rPr>
        <w:footnoteReference w:id="4"/>
      </w:r>
      <w:r>
        <w:rPr>
          <w:rFonts w:hint="eastAsia" w:ascii="宋体" w:hAnsi="宋体" w:eastAsia="宋体" w:cs="宋体"/>
          <w:sz w:val="24"/>
        </w:rPr>
        <w:t>比利时学者</w:t>
      </w:r>
      <w:r>
        <w:rPr>
          <w:rFonts w:ascii="Times New Roman" w:hAnsi="Times New Roman" w:eastAsia="宋体" w:cs="Times New Roman"/>
          <w:sz w:val="24"/>
        </w:rPr>
        <w:t>Irina Kireeva</w:t>
      </w:r>
      <w:r>
        <w:rPr>
          <w:rFonts w:hint="eastAsia" w:ascii="宋体" w:hAnsi="宋体" w:eastAsia="宋体" w:cs="宋体"/>
          <w:sz w:val="24"/>
        </w:rPr>
        <w:t>指出，通过法律对地理标志农产品进行保护，使人们认识到其产品的独特性，可以最大程度的实现传统产品的价值，特别是对发展中国家而言，地理标志的重要性不仅在于其产品本身具有优质的质量和获得大众认可的经济价值，也在于其涉及到的自然</w:t>
      </w:r>
    </w:p>
    <w:p>
      <w:pPr>
        <w:spacing w:line="360" w:lineRule="auto"/>
        <w:rPr>
          <w:rFonts w:ascii="宋体" w:hAnsi="宋体" w:eastAsia="宋体" w:cs="宋体"/>
          <w:sz w:val="24"/>
        </w:rPr>
      </w:pPr>
      <w:r>
        <w:rPr>
          <w:rFonts w:hint="eastAsia" w:ascii="宋体" w:hAnsi="宋体" w:eastAsia="宋体" w:cs="宋体"/>
          <w:sz w:val="24"/>
        </w:rPr>
        <w:t>资源等领域和文化体验，都可以推动发展中国家农村经济的快速发展。</w:t>
      </w:r>
      <w:r>
        <w:rPr>
          <w:rStyle w:val="35"/>
          <w:rFonts w:hint="eastAsia" w:ascii="宋体" w:hAnsi="宋体" w:eastAsia="宋体" w:cs="宋体"/>
          <w:sz w:val="24"/>
        </w:rPr>
        <w:footnoteReference w:id="5"/>
      </w:r>
    </w:p>
    <w:p>
      <w:pPr>
        <w:spacing w:line="360" w:lineRule="auto"/>
        <w:ind w:firstLine="480" w:firstLineChars="200"/>
        <w:rPr>
          <w:rFonts w:ascii="宋体" w:hAnsi="宋体" w:eastAsia="宋体" w:cs="宋体"/>
          <w:sz w:val="24"/>
        </w:rPr>
      </w:pPr>
      <w:r>
        <w:rPr>
          <w:rFonts w:hint="eastAsia" w:ascii="宋体" w:hAnsi="宋体" w:eastAsia="宋体" w:cs="宋体"/>
          <w:sz w:val="24"/>
        </w:rPr>
        <w:t>国外对地理标志相关问题的研究在一定程度上为我国农产品地理标志的保护和发展提供了具有现实意义的参考，特别是欧美等发达国家对农产品地理标志的开发、保护和发展，对于我国农产品地理标志的保护发展具有重要的借鉴意义。</w:t>
      </w:r>
    </w:p>
    <w:p>
      <w:pPr>
        <w:spacing w:before="318" w:beforeLines="100" w:after="318" w:afterLines="100" w:line="360" w:lineRule="auto"/>
        <w:outlineLvl w:val="3"/>
        <w:rPr>
          <w:rFonts w:ascii="宋体" w:hAnsi="宋体"/>
          <w:sz w:val="24"/>
        </w:rPr>
      </w:pPr>
      <w:bookmarkStart w:id="73" w:name="_Toc481096291"/>
      <w:bookmarkStart w:id="74" w:name="_Toc3659"/>
      <w:bookmarkStart w:id="75" w:name="_Toc23090"/>
      <w:bookmarkStart w:id="76" w:name="_Toc20942"/>
      <w:bookmarkStart w:id="77" w:name="_Toc482298895"/>
      <w:r>
        <w:rPr>
          <w:rFonts w:hint="eastAsia" w:ascii="黑体" w:hAnsi="黑体" w:eastAsia="黑体" w:cs="黑体"/>
          <w:sz w:val="24"/>
        </w:rPr>
        <w:t>1.2.1.2 非政府组织的研究现状</w:t>
      </w:r>
      <w:bookmarkEnd w:id="73"/>
      <w:bookmarkEnd w:id="74"/>
      <w:bookmarkEnd w:id="75"/>
      <w:bookmarkEnd w:id="76"/>
      <w:bookmarkEnd w:id="77"/>
    </w:p>
    <w:p>
      <w:pPr>
        <w:spacing w:line="360" w:lineRule="auto"/>
        <w:ind w:firstLine="480" w:firstLineChars="200"/>
        <w:rPr>
          <w:rFonts w:ascii="宋体" w:hAnsi="宋体" w:eastAsia="宋体" w:cs="宋体"/>
          <w:sz w:val="24"/>
        </w:rPr>
      </w:pPr>
      <w:r>
        <w:rPr>
          <w:rFonts w:hint="eastAsia" w:ascii="宋体" w:hAnsi="宋体" w:eastAsia="宋体" w:cs="宋体"/>
          <w:sz w:val="24"/>
        </w:rPr>
        <w:t>20世纪70年代，西方国家开始系统的研究非政府组织，虽然最初只是在行政管理理论层面展开研究，但随着非政府组织自身的发展，对它的研究也逐渐深入。目前，在西方发达国家，对非政府组织的研究主要集中在以下几个方面：</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兴起原因的研究。美国经济学家伯顿·韦斯布罗德从政府失灵角度论证了非政府组织兴起的主要原因。他指出政府部门与市场部门在提供公共物品方面无法达到满足所有社会需求的要求，存在着天然的局限性，也就是政府失灵现象的存在致使了部分社会民众对第三方组织的功能需求，它可以在政府和市场部门无法涉及或者涉及程度不够的领域发挥很大的作用，并指出这是社会组织存在与兴起的主要原因。另外美国非政府组织研究专家、公共政策学者萨拉蒙提出了第三方管理理论，指出第三方管理模式的出现是对政府机构的不信任与对公共服务的社会需求之间的矛盾的调和：一方面，政府在公共福利提供中的作用增强；另一方面，又避免庞大政府官僚机构的出现。</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关于非政府组织与政府关系的研究。美国学者南姆·卡朴库以处理突发事件研究为切入点，论证了政府与非政府组织为实现公共服务目标应加强双方的沟通与协调，建立合作伙伴关系。</w:t>
      </w:r>
      <w:r>
        <w:rPr>
          <w:rStyle w:val="35"/>
          <w:rFonts w:hint="eastAsia" w:ascii="宋体" w:hAnsi="宋体" w:eastAsia="宋体" w:cs="宋体"/>
          <w:sz w:val="24"/>
        </w:rPr>
        <w:footnoteReference w:id="6"/>
      </w:r>
      <w:r>
        <w:rPr>
          <w:rFonts w:hint="eastAsia" w:ascii="宋体" w:hAnsi="宋体" w:eastAsia="宋体" w:cs="宋体"/>
          <w:sz w:val="24"/>
        </w:rPr>
        <w:t>世界发展委员会主席保罗·斯特里腾认为政府与非政府组织之间存在不可分割的关系，非政府组织的计划经常是由政府来提供的，主要与政府的宏观经济政策之间有联系，成功的非政府组织计划有时会被政府接管，而非政府组织可以对政府制定政策的过程施加影响等。</w:t>
      </w:r>
      <w:r>
        <w:rPr>
          <w:rStyle w:val="35"/>
          <w:rFonts w:hint="eastAsia" w:ascii="宋体" w:hAnsi="宋体" w:eastAsia="宋体" w:cs="宋体"/>
          <w:sz w:val="24"/>
        </w:rPr>
        <w:footnoteReference w:id="7"/>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关于非政府组织作用的研究。中欧大学法学教授利昂·</w:t>
      </w:r>
      <w:r>
        <w:rPr>
          <w:rFonts w:hint="default" w:ascii="Times New Roman" w:hAnsi="Times New Roman" w:eastAsia="宋体" w:cs="Times New Roman"/>
          <w:sz w:val="24"/>
        </w:rPr>
        <w:t>E</w:t>
      </w:r>
      <w:r>
        <w:rPr>
          <w:rFonts w:hint="eastAsia" w:ascii="宋体" w:hAnsi="宋体" w:eastAsia="宋体" w:cs="宋体"/>
          <w:sz w:val="24"/>
        </w:rPr>
        <w:t>·艾里什、美国天主教大学教授卡尔拉</w:t>
      </w:r>
      <w:r>
        <w:rPr>
          <w:rFonts w:hint="default" w:ascii="Times New Roman" w:hAnsi="Times New Roman" w:eastAsia="宋体" w:cs="Times New Roman"/>
          <w:sz w:val="24"/>
        </w:rPr>
        <w:t>W</w:t>
      </w:r>
      <w:r>
        <w:rPr>
          <w:rFonts w:hint="eastAsia" w:ascii="宋体" w:hAnsi="宋体" w:eastAsia="宋体" w:cs="宋体"/>
          <w:sz w:val="24"/>
        </w:rPr>
        <w:t>·西蒙指出非政府组织在一个好的法律和规制环境中能够促进社会经济健康平稳发展。英国专家迈克尔·爱德华兹从国际视角研究提出了非政府组织在社会经济发展中的“润滑剂”及“助力器”作用，以及非政府组织该如何最大效益的发挥这些作用的办法，并提出有关非政府组织的一些至今还无法回答的问题。</w:t>
      </w:r>
      <w:r>
        <w:rPr>
          <w:rStyle w:val="35"/>
          <w:rFonts w:hint="eastAsia" w:ascii="宋体" w:hAnsi="宋体" w:eastAsia="宋体" w:cs="宋体"/>
          <w:sz w:val="24"/>
        </w:rPr>
        <w:footnoteReference w:id="8"/>
      </w:r>
    </w:p>
    <w:p>
      <w:pPr>
        <w:spacing w:line="360" w:lineRule="auto"/>
        <w:ind w:firstLine="480" w:firstLineChars="200"/>
        <w:rPr>
          <w:rFonts w:ascii="宋体" w:hAnsi="宋体" w:eastAsia="宋体" w:cs="宋体"/>
          <w:color w:val="C00000"/>
          <w:sz w:val="24"/>
        </w:rPr>
      </w:pPr>
      <w:r>
        <w:rPr>
          <w:rFonts w:hint="eastAsia" w:ascii="宋体" w:hAnsi="宋体" w:eastAsia="宋体" w:cs="宋体"/>
          <w:sz w:val="24"/>
        </w:rPr>
        <w:t>关于涉农非政府组织的研究。国外在上个世纪初就已经开始了关于涉农非政府组织的研究，一开始是为了调整土地和农民的关系，促进农民生产积极性而建立的，为此制定了完备的法律体系来保证农业行业协会的发展，比如日本的《农业助成法》、《农业协同组合法》、《农产品价格稳定法》、《农产品检查法》等，在农业主体和农产品的市场流通、质量检查方面都进行了相关的法律规范。后来农业行业协会在提高农民组织化程度、发展生态农业、提升农产品国际竞争力等方面都表现出了很大的优势，得到了更多国家的支持和重视。美国</w:t>
      </w:r>
      <w:r>
        <w:rPr>
          <w:rFonts w:hint="default" w:ascii="Times New Roman" w:hAnsi="Times New Roman" w:eastAsia="宋体" w:cs="Times New Roman"/>
          <w:sz w:val="24"/>
        </w:rPr>
        <w:t>1922</w:t>
      </w:r>
      <w:r>
        <w:rPr>
          <w:rFonts w:hint="eastAsia" w:ascii="宋体" w:hAnsi="宋体" w:eastAsia="宋体" w:cs="宋体"/>
          <w:sz w:val="24"/>
        </w:rPr>
        <w:t>年通过《卡帕-沃尔斯坦德法》，开始了按劳分配、平等合作、民主管理的集体所有的行业协会制度的建设。所以，国外对于涉农非政府组织特别是农业行业协会的研究和实践起步较早，而且发展的渐趋完善，在法律体系建设、内部治理规范、政府支持模式等方面都已经达到了先进的地步，对于我国涉农非政府组织特别是农业行业协会的发展提供了大量的可借鉴的先进经验。</w:t>
      </w:r>
    </w:p>
    <w:p>
      <w:pPr>
        <w:spacing w:before="318" w:beforeLines="100" w:after="318" w:afterLines="100" w:line="360" w:lineRule="auto"/>
        <w:outlineLvl w:val="2"/>
        <w:rPr>
          <w:rFonts w:ascii="宋体" w:hAnsi="宋体"/>
          <w:sz w:val="24"/>
        </w:rPr>
      </w:pPr>
      <w:bookmarkStart w:id="78" w:name="_Toc14270"/>
      <w:bookmarkStart w:id="79" w:name="_Toc32132"/>
      <w:bookmarkStart w:id="80" w:name="_Toc15831"/>
      <w:bookmarkStart w:id="81" w:name="_Toc1624"/>
      <w:bookmarkStart w:id="82" w:name="_Toc27638"/>
      <w:bookmarkStart w:id="83" w:name="_Toc17317"/>
      <w:bookmarkStart w:id="84" w:name="_Toc5123"/>
      <w:bookmarkStart w:id="85" w:name="_Toc21120"/>
      <w:r>
        <w:rPr>
          <w:rFonts w:hint="eastAsia" w:ascii="黑体" w:hAnsi="黑体" w:eastAsia="黑体" w:cs="黑体"/>
          <w:sz w:val="24"/>
        </w:rPr>
        <w:t>1.2.2 国内相关研究现状</w:t>
      </w:r>
      <w:bookmarkEnd w:id="78"/>
      <w:bookmarkEnd w:id="79"/>
      <w:bookmarkEnd w:id="80"/>
      <w:bookmarkEnd w:id="81"/>
      <w:bookmarkEnd w:id="82"/>
      <w:bookmarkEnd w:id="83"/>
      <w:bookmarkEnd w:id="84"/>
      <w:bookmarkEnd w:id="85"/>
    </w:p>
    <w:p>
      <w:pPr>
        <w:spacing w:before="318" w:beforeLines="100" w:after="318" w:afterLines="100" w:line="360" w:lineRule="auto"/>
        <w:outlineLvl w:val="3"/>
        <w:rPr>
          <w:rFonts w:ascii="宋体" w:hAnsi="宋体"/>
          <w:color w:val="ED7D31" w:themeColor="accent2"/>
          <w:sz w:val="24"/>
          <w14:textFill>
            <w14:solidFill>
              <w14:schemeClr w14:val="accent2"/>
            </w14:solidFill>
          </w14:textFill>
        </w:rPr>
      </w:pPr>
      <w:bookmarkStart w:id="86" w:name="_Toc481096293"/>
      <w:bookmarkStart w:id="87" w:name="_Toc9190"/>
      <w:bookmarkStart w:id="88" w:name="_Toc8715"/>
      <w:bookmarkStart w:id="89" w:name="_Toc30877"/>
      <w:bookmarkStart w:id="90" w:name="_Toc482298897"/>
      <w:r>
        <w:rPr>
          <w:rFonts w:hint="eastAsia" w:ascii="黑体" w:hAnsi="黑体" w:eastAsia="黑体" w:cs="黑体"/>
          <w:sz w:val="24"/>
        </w:rPr>
        <w:t>1.2.2.1 农产品地理标志保护的</w:t>
      </w:r>
      <w:bookmarkEnd w:id="86"/>
      <w:r>
        <w:rPr>
          <w:rFonts w:hint="eastAsia" w:ascii="黑体" w:hAnsi="黑体" w:eastAsia="黑体" w:cs="黑体"/>
          <w:sz w:val="24"/>
        </w:rPr>
        <w:t>研究现状</w:t>
      </w:r>
      <w:bookmarkEnd w:id="87"/>
      <w:bookmarkEnd w:id="88"/>
      <w:bookmarkEnd w:id="89"/>
      <w:bookmarkEnd w:id="90"/>
    </w:p>
    <w:p>
      <w:pPr>
        <w:spacing w:line="360" w:lineRule="auto"/>
        <w:ind w:firstLine="480" w:firstLineChars="200"/>
        <w:rPr>
          <w:rFonts w:ascii="宋体" w:hAnsi="宋体" w:eastAsia="宋体" w:cs="宋体"/>
          <w:sz w:val="24"/>
        </w:rPr>
      </w:pPr>
      <w:r>
        <w:rPr>
          <w:rFonts w:hint="eastAsia" w:ascii="宋体" w:hAnsi="宋体" w:eastAsia="宋体" w:cs="宋体"/>
          <w:sz w:val="24"/>
        </w:rPr>
        <w:t>国内对农产品地理标志的研究起步较晚，基本开始于本世纪初，即我国加入世贸组织以后，相关研究角度主要集中在法律，知识产权、政府管理及经济学等方面。</w:t>
      </w:r>
    </w:p>
    <w:p>
      <w:pPr>
        <w:spacing w:line="360" w:lineRule="auto"/>
        <w:ind w:firstLine="480" w:firstLineChars="200"/>
        <w:rPr>
          <w:rFonts w:ascii="宋体" w:hAnsi="宋体" w:eastAsia="宋体" w:cs="宋体"/>
          <w:sz w:val="24"/>
        </w:rPr>
      </w:pPr>
      <w:r>
        <w:rPr>
          <w:rFonts w:hint="eastAsia" w:ascii="宋体" w:hAnsi="宋体" w:eastAsia="宋体" w:cs="宋体"/>
          <w:sz w:val="24"/>
        </w:rPr>
        <w:t>从法律法规角度对农产品地理标志的研究情况。赵小平教授在其著作中分析了地理标志保护的多边历程及WTO框架下各成员国关于加强地理标志保护的争论、美国区域贸易协定和欧共体中对地理标志的保护以及我国地理标志保护的立法与实践情况。</w:t>
      </w:r>
      <w:r>
        <w:rPr>
          <w:rStyle w:val="35"/>
          <w:rFonts w:hint="eastAsia" w:ascii="宋体" w:hAnsi="宋体" w:eastAsia="宋体" w:cs="宋体"/>
          <w:sz w:val="24"/>
        </w:rPr>
        <w:footnoteReference w:id="9"/>
      </w:r>
      <w:r>
        <w:rPr>
          <w:rFonts w:hint="eastAsia" w:ascii="宋体" w:hAnsi="宋体" w:eastAsia="宋体" w:cs="宋体"/>
          <w:sz w:val="24"/>
        </w:rPr>
        <w:t>另外田芙蓉博士在其著作中对地理标志的法律性质、权利归属进行了分析，并通过研究国内外法律对于地理标志保护的不同，提出了我国地理标志法律保护制度的构架建议。</w:t>
      </w:r>
      <w:r>
        <w:rPr>
          <w:rStyle w:val="35"/>
          <w:rFonts w:hint="eastAsia" w:ascii="宋体" w:hAnsi="宋体" w:eastAsia="宋体" w:cs="宋体"/>
          <w:sz w:val="24"/>
        </w:rPr>
        <w:footnoteReference w:id="10"/>
      </w:r>
    </w:p>
    <w:p>
      <w:pPr>
        <w:spacing w:line="360" w:lineRule="auto"/>
        <w:ind w:firstLine="480" w:firstLineChars="200"/>
        <w:rPr>
          <w:rFonts w:ascii="宋体" w:hAnsi="宋体" w:eastAsia="宋体" w:cs="宋体"/>
          <w:sz w:val="24"/>
        </w:rPr>
      </w:pPr>
      <w:r>
        <w:rPr>
          <w:rFonts w:hint="eastAsia" w:ascii="宋体" w:hAnsi="宋体" w:eastAsia="宋体" w:cs="宋体"/>
          <w:sz w:val="24"/>
        </w:rPr>
        <w:t>从知识产权角度对农产品地理标志的研究情况。李华等学者认为地理标志是一种无形财产权，其权利的客体体现为人的智力成果，一种促进该商品具有某种独特的品质、特征或声誉的人的智力成果。因为这类产品必须生长在特定的地域，因而在确认这种权利时政府相关部门必须严格划分该产品在地理上的地域界限，只有在此地理界限范围内的符合要求的主体方才可以享有这种权利。</w:t>
      </w:r>
      <w:r>
        <w:rPr>
          <w:rStyle w:val="35"/>
          <w:rFonts w:hint="eastAsia" w:ascii="宋体" w:hAnsi="宋体" w:eastAsia="宋体" w:cs="宋体"/>
          <w:sz w:val="24"/>
        </w:rPr>
        <w:footnoteReference w:id="11"/>
      </w:r>
      <w:r>
        <w:rPr>
          <w:rFonts w:hint="eastAsia" w:ascii="宋体" w:hAnsi="宋体" w:eastAsia="宋体" w:cs="宋体"/>
          <w:sz w:val="24"/>
        </w:rPr>
        <w:t>而多数学者认为地理标志是一项知识产权，在商务实践中表现为集体商标和证明商标。也有学者提出地理标志是一种私权，加强法律对农产品地理标志的保护有利于促进农业现代化和解决我国的“三农问题”。</w:t>
      </w:r>
      <w:r>
        <w:rPr>
          <w:rStyle w:val="35"/>
          <w:rFonts w:hint="eastAsia" w:ascii="宋体" w:hAnsi="宋体" w:eastAsia="宋体" w:cs="宋体"/>
          <w:sz w:val="24"/>
        </w:rPr>
        <w:footnoteReference w:id="12"/>
      </w:r>
    </w:p>
    <w:p>
      <w:pPr>
        <w:spacing w:line="360" w:lineRule="auto"/>
        <w:ind w:firstLine="480" w:firstLineChars="200"/>
        <w:rPr>
          <w:rFonts w:ascii="宋体" w:hAnsi="宋体" w:eastAsia="宋体" w:cs="宋体"/>
          <w:sz w:val="24"/>
        </w:rPr>
      </w:pPr>
      <w:r>
        <w:rPr>
          <w:rFonts w:hint="eastAsia" w:ascii="宋体" w:hAnsi="宋体" w:eastAsia="宋体" w:cs="宋体"/>
          <w:sz w:val="24"/>
        </w:rPr>
        <w:t>从政府管理角度对农产品地理标志的研究情况。金发忠曾在其著作中系统的论述了农产品地理标志登记保护的基本要素、职能定位和政策取向等关键问题，明确了农产品地理标志登记保护方面的若干模糊问题。</w:t>
      </w:r>
      <w:r>
        <w:rPr>
          <w:rStyle w:val="35"/>
          <w:rFonts w:hint="eastAsia" w:ascii="宋体" w:hAnsi="宋体" w:eastAsia="宋体" w:cs="宋体"/>
          <w:sz w:val="24"/>
        </w:rPr>
        <w:footnoteReference w:id="13"/>
      </w:r>
      <w:r>
        <w:rPr>
          <w:rFonts w:hint="eastAsia" w:ascii="宋体" w:hAnsi="宋体" w:eastAsia="宋体" w:cs="宋体"/>
          <w:sz w:val="24"/>
        </w:rPr>
        <w:t>冯忠泽教授等分析了我国建立农产品地理标志管理制度必须解决的核心问题，并提出了建立中国农产品地理标志管理制度的政策建议和发展方略。</w:t>
      </w:r>
      <w:r>
        <w:rPr>
          <w:rStyle w:val="35"/>
          <w:rFonts w:hint="eastAsia" w:ascii="宋体" w:hAnsi="宋体" w:eastAsia="宋体" w:cs="宋体"/>
          <w:sz w:val="24"/>
        </w:rPr>
        <w:footnoteReference w:id="14"/>
      </w:r>
      <w:r>
        <w:rPr>
          <w:rFonts w:hint="eastAsia" w:ascii="宋体" w:hAnsi="宋体" w:eastAsia="宋体" w:cs="宋体"/>
          <w:sz w:val="24"/>
        </w:rPr>
        <w:t>张梦飞教授提出要结合我国当前的国情构建新型地理标志保护制度，在对我国地理标志保护现状及制度缺陷进行分析的基础上，提出了构建新型地理标志制度的政策取向。</w:t>
      </w:r>
      <w:r>
        <w:rPr>
          <w:rStyle w:val="35"/>
          <w:rFonts w:hint="eastAsia" w:ascii="宋体" w:hAnsi="宋体" w:eastAsia="宋体" w:cs="宋体"/>
          <w:sz w:val="24"/>
        </w:rPr>
        <w:footnoteReference w:id="15"/>
      </w:r>
    </w:p>
    <w:p>
      <w:pPr>
        <w:spacing w:line="360" w:lineRule="auto"/>
        <w:ind w:firstLine="480" w:firstLineChars="200"/>
        <w:rPr>
          <w:rFonts w:ascii="宋体" w:hAnsi="宋体" w:eastAsia="宋体" w:cs="宋体"/>
          <w:sz w:val="24"/>
        </w:rPr>
      </w:pPr>
      <w:r>
        <w:rPr>
          <w:rFonts w:hint="eastAsia" w:ascii="宋体" w:hAnsi="宋体" w:eastAsia="宋体" w:cs="宋体"/>
          <w:sz w:val="24"/>
        </w:rPr>
        <w:t>从经济学角度对农产品地理标志的研究情况。王笑冰从特色经济角度对地理标志的特色经济价值进行了分析，认为对地理标志经济价值的分析应该包括地理标志自身成本的分析和地理标志对产品的增值效益的分析。</w:t>
      </w:r>
      <w:r>
        <w:rPr>
          <w:rStyle w:val="35"/>
          <w:rFonts w:hint="eastAsia" w:ascii="宋体" w:hAnsi="宋体" w:eastAsia="宋体" w:cs="宋体"/>
          <w:sz w:val="24"/>
        </w:rPr>
        <w:footnoteReference w:id="16"/>
      </w:r>
      <w:r>
        <w:rPr>
          <w:rFonts w:hint="eastAsia" w:ascii="宋体" w:hAnsi="宋体" w:eastAsia="宋体" w:cs="宋体"/>
          <w:sz w:val="24"/>
        </w:rPr>
        <w:t>王志本对原产地名称保护对提高我国农产品国际竞争力的作用进行了详细的论述，并分析了实行农产品地理标志保护对于提高我国农产品质量标准化、开发和拓展农业的综合功能等方面的意义。</w:t>
      </w:r>
      <w:r>
        <w:rPr>
          <w:rStyle w:val="35"/>
          <w:rFonts w:hint="eastAsia" w:ascii="宋体" w:hAnsi="宋体" w:eastAsia="宋体" w:cs="宋体"/>
          <w:sz w:val="24"/>
        </w:rPr>
        <w:footnoteReference w:id="17"/>
      </w:r>
      <w:r>
        <w:rPr>
          <w:rFonts w:hint="eastAsia" w:ascii="宋体" w:hAnsi="宋体" w:eastAsia="宋体" w:cs="宋体"/>
          <w:sz w:val="24"/>
        </w:rPr>
        <w:t>邓宏光从区域经济角度提出了大力发展我国农产品地理标志产业有利于有效保护农业资源、提高农民收入、增强农业国际竞争力以及实现农业规范化生产经营等。</w:t>
      </w:r>
      <w:r>
        <w:rPr>
          <w:rStyle w:val="35"/>
          <w:rFonts w:hint="eastAsia" w:ascii="宋体" w:hAnsi="宋体" w:eastAsia="宋体" w:cs="宋体"/>
          <w:sz w:val="24"/>
        </w:rPr>
        <w:footnoteReference w:id="18"/>
      </w:r>
    </w:p>
    <w:p>
      <w:pPr>
        <w:spacing w:before="318" w:beforeLines="100" w:after="318" w:afterLines="100" w:line="360" w:lineRule="auto"/>
        <w:outlineLvl w:val="3"/>
        <w:rPr>
          <w:rFonts w:ascii="宋体" w:hAnsi="宋体"/>
          <w:color w:val="ED7D31" w:themeColor="accent2"/>
          <w:sz w:val="24"/>
          <w14:textFill>
            <w14:solidFill>
              <w14:schemeClr w14:val="accent2"/>
            </w14:solidFill>
          </w14:textFill>
        </w:rPr>
      </w:pPr>
      <w:bookmarkStart w:id="91" w:name="_Toc27823"/>
      <w:bookmarkStart w:id="92" w:name="_Toc20211"/>
      <w:bookmarkStart w:id="93" w:name="_Toc482298898"/>
      <w:bookmarkStart w:id="94" w:name="_Toc6753"/>
      <w:bookmarkStart w:id="95" w:name="_Toc481096294"/>
      <w:r>
        <w:rPr>
          <w:rFonts w:hint="eastAsia" w:ascii="黑体" w:hAnsi="黑体" w:eastAsia="黑体" w:cs="黑体"/>
          <w:sz w:val="24"/>
        </w:rPr>
        <w:t>1.2.2.2 非政府组织的研究现状</w:t>
      </w:r>
      <w:bookmarkEnd w:id="91"/>
      <w:bookmarkEnd w:id="92"/>
      <w:bookmarkEnd w:id="93"/>
      <w:bookmarkEnd w:id="94"/>
      <w:bookmarkEnd w:id="95"/>
    </w:p>
    <w:p>
      <w:pPr>
        <w:spacing w:line="360" w:lineRule="auto"/>
        <w:ind w:firstLine="480" w:firstLineChars="200"/>
        <w:rPr>
          <w:rFonts w:ascii="宋体" w:hAnsi="宋体" w:eastAsia="宋体" w:cs="宋体"/>
          <w:sz w:val="24"/>
        </w:rPr>
      </w:pPr>
      <w:r>
        <w:rPr>
          <w:rFonts w:hint="eastAsia" w:ascii="宋体" w:hAnsi="宋体" w:eastAsia="宋体" w:cs="宋体"/>
          <w:sz w:val="24"/>
        </w:rPr>
        <w:t>伴随着经济的全球化，世界各国之间的联系越来越紧密，受到来自欧美发达国家的影响和带动，我国非政府组织在近年来得到了快速的发展。对于我国来说，非政府组织概念是一个“舶来品”，主要是受西方国家的带动，所以对其的研究起步较晚。综合分析国内学者对非政府组织的相关研究，可以发现主要集中在以下几个方面：</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在我国的发展情况的研究。对于非政府组织在我国的发展情况的研究，主要分为两个阶段，第一个阶段是引入阶段：在该阶段，我国学者主要通过翻译国外著作，介绍了国外非政府组织发展的情况，包括概念、属性、成因等相关理论。例如杨团介绍了美国的基金会和非政府组织，王庆成介绍了西方非政府组织会计准则的理论框架。第二个阶段是本土化阶段：这一阶段我国学者对我国非政府组织的发展历程和发展现状进行了总结、并探讨转型期我国非政府组织与改革的关系。如王颖等人对浙江萧山社会团体在20世纪80年代的发展过程进行了统计分析，向我们介绍了我国非政府组织与改革之间的关系。近年来，非政府组织在应对突发公共事件、参与环境保护等方面的作用越来越突出，国内关于这方面的研究也越来越多。</w:t>
      </w:r>
    </w:p>
    <w:p>
      <w:pPr>
        <w:spacing w:line="360" w:lineRule="auto"/>
        <w:ind w:firstLine="480" w:firstLineChars="200"/>
        <w:rPr>
          <w:rFonts w:ascii="宋体" w:hAnsi="宋体" w:eastAsia="宋体" w:cs="宋体"/>
          <w:sz w:val="24"/>
        </w:rPr>
      </w:pPr>
      <w:r>
        <w:rPr>
          <w:rFonts w:hint="eastAsia" w:ascii="宋体" w:hAnsi="宋体" w:eastAsia="宋体" w:cs="宋体"/>
          <w:sz w:val="24"/>
        </w:rPr>
        <w:t>关于我国非政府组织发展存在的问题的研究。王名等人指出由于社会的转型，我国非政府组织在制度构建等方面存在不足，同时由于地区发展的不平衡、政府改革的滞后性和非政府组织自身的理念缺失，导致我国非政府组织发展存在地区发展不平衡、缺乏独立性、工作能力不足及资源缺乏等问题。朱健刚等人指出我国公民社会发展不成熟，目前还处于“前公民社会”状态，从而导致我国非政府组织的发展在法律、人力、资金、信任、知识五个方面存在缺陷。</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在社会发展中所起作用的研究。吴锦良教授指出非政府组织在运行和工作过程中有着很大的弹性，能够针对不同情况作出适时的调整，对于政府部门不便做或者无法做的事情，非政府组织有着天然的优势，所以在一定程度上能够促进政府职能的转变。</w:t>
      </w:r>
      <w:r>
        <w:rPr>
          <w:rStyle w:val="35"/>
          <w:rFonts w:hint="eastAsia" w:ascii="宋体" w:hAnsi="宋体" w:eastAsia="宋体" w:cs="宋体"/>
          <w:sz w:val="24"/>
        </w:rPr>
        <w:footnoteReference w:id="19"/>
      </w:r>
      <w:r>
        <w:rPr>
          <w:rFonts w:hint="eastAsia" w:ascii="宋体" w:hAnsi="宋体" w:eastAsia="宋体" w:cs="宋体"/>
          <w:sz w:val="24"/>
        </w:rPr>
        <w:t>冯必扬教授认为第三部门作为社会弱势群体的代言人，能够帮助他们自主的解决问题，促进了公平正义，对于促进和谐社会的构建以及小康社会的建成起着不可忽视的作用。</w:t>
      </w:r>
      <w:r>
        <w:rPr>
          <w:rStyle w:val="35"/>
          <w:rFonts w:hint="eastAsia" w:ascii="宋体" w:hAnsi="宋体" w:eastAsia="宋体" w:cs="宋体"/>
          <w:sz w:val="24"/>
        </w:rPr>
        <w:footnoteReference w:id="20"/>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关于涉农非政府组织的研究。国内学者对涉农非政府组织的研究主要聚焦在农业行业协会领域，但是对于农业行业协会保护农产品地理标志的研究几乎是空白的，而是将重点都放在研究农业行业协会对于促进农业产业化和提升农产品市场竞争力方面。另外，也有不少学者以个案为突破口，对于涉农非政府组织自身的发展情况进行了研究。潘劲曾对我国农产品行业协会的发展现状、存在问题与发展思路等进行了系统的阐述。</w:t>
      </w:r>
      <w:r>
        <w:rPr>
          <w:rStyle w:val="35"/>
          <w:rFonts w:hint="eastAsia" w:ascii="宋体" w:hAnsi="宋体" w:eastAsia="宋体" w:cs="宋体"/>
          <w:sz w:val="24"/>
        </w:rPr>
        <w:footnoteReference w:id="21"/>
      </w:r>
      <w:r>
        <w:rPr>
          <w:rFonts w:hint="eastAsia" w:ascii="宋体" w:hAnsi="宋体" w:eastAsia="宋体" w:cs="宋体"/>
          <w:sz w:val="24"/>
        </w:rPr>
        <w:t>蔡秀玲教授指出，农业行业协会的正常运作需要一定的条件，比如存在若干个同行业企业、法律对于协会有明确的规范、协会具有知识和经验丰富的专业人才、协会资金来源充足等，只有满足了多项条件，农业行业协会才能正常的运作，发挥出应有的作用。</w:t>
      </w:r>
      <w:r>
        <w:rPr>
          <w:rStyle w:val="35"/>
          <w:rFonts w:hint="eastAsia" w:ascii="宋体" w:hAnsi="宋体" w:eastAsia="宋体" w:cs="宋体"/>
          <w:sz w:val="24"/>
        </w:rPr>
        <w:footnoteReference w:id="22"/>
      </w: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rPr>
          <w:rFonts w:hint="eastAsia" w:ascii="Times New Roman" w:hAnsi="Times New Roman" w:eastAsia="黑体" w:cs="Times New Roman"/>
          <w:bCs/>
          <w:kern w:val="44"/>
          <w:sz w:val="32"/>
          <w:szCs w:val="44"/>
          <w:lang w:val="en-US" w:eastAsia="zh-CN" w:bidi="ar-SA"/>
        </w:rPr>
      </w:pPr>
      <w:r>
        <w:rPr>
          <w:rFonts w:hint="eastAsia" w:ascii="Times New Roman" w:hAnsi="Times New Roman" w:eastAsia="黑体" w:cs="Times New Roman"/>
          <w:bCs/>
          <w:kern w:val="44"/>
          <w:sz w:val="32"/>
          <w:szCs w:val="44"/>
          <w:lang w:val="en-US" w:eastAsia="zh-CN" w:bidi="ar-SA"/>
        </w:rPr>
        <w:t>2农业指数类保险产品研究的现状、特点与技术难题</w:t>
      </w:r>
    </w:p>
    <w:p>
      <w:pPr>
        <w:snapToGrid w:val="0"/>
        <w:spacing w:line="360" w:lineRule="auto"/>
        <w:ind w:firstLine="480" w:firstLineChars="200"/>
        <w:rPr>
          <w:sz w:val="24"/>
        </w:rPr>
      </w:pPr>
      <w:bookmarkStart w:id="96" w:name="_Toc20181"/>
      <w:bookmarkStart w:id="97" w:name="_Toc14648"/>
      <w:r>
        <w:rPr>
          <w:sz w:val="24"/>
        </w:rPr>
        <w:t>我国现行</w:t>
      </w:r>
      <w:r>
        <w:rPr>
          <w:rFonts w:hint="eastAsia"/>
          <w:sz w:val="24"/>
        </w:rPr>
        <w:t>农业</w:t>
      </w:r>
      <w:r>
        <w:rPr>
          <w:sz w:val="24"/>
        </w:rPr>
        <w:t>指数类保险产品的</w:t>
      </w:r>
      <w:r>
        <w:rPr>
          <w:rFonts w:hint="eastAsia"/>
          <w:sz w:val="24"/>
          <w:szCs w:val="24"/>
        </w:rPr>
        <w:t>研究</w:t>
      </w:r>
      <w:r>
        <w:rPr>
          <w:rFonts w:hint="eastAsia"/>
          <w:sz w:val="24"/>
        </w:rPr>
        <w:t>包括</w:t>
      </w:r>
      <w:r>
        <w:rPr>
          <w:sz w:val="24"/>
        </w:rPr>
        <w:t>气象指数保险、产量</w:t>
      </w:r>
      <w:r>
        <w:rPr>
          <w:rFonts w:hint="eastAsia"/>
          <w:sz w:val="24"/>
        </w:rPr>
        <w:t>指数</w:t>
      </w:r>
      <w:r>
        <w:rPr>
          <w:sz w:val="24"/>
        </w:rPr>
        <w:t>保险、收入指数保险三个</w:t>
      </w:r>
      <w:r>
        <w:rPr>
          <w:rFonts w:hint="eastAsia"/>
          <w:sz w:val="24"/>
        </w:rPr>
        <w:t>类型</w:t>
      </w:r>
      <w:r>
        <w:rPr>
          <w:sz w:val="24"/>
        </w:rPr>
        <w:t>，但</w:t>
      </w:r>
      <w:r>
        <w:rPr>
          <w:rFonts w:hint="eastAsia"/>
          <w:sz w:val="24"/>
        </w:rPr>
        <w:t>各产品</w:t>
      </w:r>
      <w:r>
        <w:rPr>
          <w:rFonts w:hint="eastAsia"/>
          <w:sz w:val="24"/>
          <w:szCs w:val="24"/>
        </w:rPr>
        <w:t>研究</w:t>
      </w:r>
      <w:r>
        <w:rPr>
          <w:rFonts w:hint="eastAsia"/>
          <w:sz w:val="24"/>
        </w:rPr>
        <w:t>之间的</w:t>
      </w:r>
      <w:r>
        <w:rPr>
          <w:sz w:val="24"/>
        </w:rPr>
        <w:t>差异较大。目前，数量最多的产品</w:t>
      </w:r>
      <w:r>
        <w:rPr>
          <w:rFonts w:hint="eastAsia"/>
          <w:sz w:val="24"/>
          <w:szCs w:val="24"/>
        </w:rPr>
        <w:t>研究</w:t>
      </w:r>
      <w:r>
        <w:rPr>
          <w:sz w:val="24"/>
        </w:rPr>
        <w:t>为气象指数保险，在全国具有40多项，涉及20个省</w:t>
      </w:r>
      <w:r>
        <w:rPr>
          <w:rFonts w:hint="eastAsia"/>
          <w:sz w:val="24"/>
        </w:rPr>
        <w:t>；</w:t>
      </w:r>
      <w:r>
        <w:rPr>
          <w:sz w:val="24"/>
        </w:rPr>
        <w:t>其次为产量指数保险，在全国大约20项，涉及12个省</w:t>
      </w:r>
      <w:r>
        <w:rPr>
          <w:rFonts w:hint="eastAsia"/>
          <w:sz w:val="24"/>
        </w:rPr>
        <w:t>；而</w:t>
      </w:r>
      <w:r>
        <w:rPr>
          <w:sz w:val="24"/>
        </w:rPr>
        <w:t>收入指数保险产品</w:t>
      </w:r>
      <w:r>
        <w:rPr>
          <w:rFonts w:hint="eastAsia"/>
          <w:sz w:val="24"/>
        </w:rPr>
        <w:t>在全国</w:t>
      </w:r>
      <w:r>
        <w:rPr>
          <w:sz w:val="24"/>
        </w:rPr>
        <w:t>只有4项</w:t>
      </w:r>
      <w:r>
        <w:rPr>
          <w:rFonts w:hint="eastAsia"/>
          <w:sz w:val="24"/>
        </w:rPr>
        <w:t>成果</w:t>
      </w:r>
      <w:r>
        <w:rPr>
          <w:sz w:val="24"/>
        </w:rPr>
        <w:t>，</w:t>
      </w:r>
      <w:r>
        <w:rPr>
          <w:rFonts w:hint="eastAsia"/>
          <w:sz w:val="24"/>
        </w:rPr>
        <w:t>分别</w:t>
      </w:r>
      <w:r>
        <w:rPr>
          <w:sz w:val="24"/>
        </w:rPr>
        <w:t>涉及4个</w:t>
      </w:r>
      <w:r>
        <w:rPr>
          <w:rFonts w:hint="eastAsia"/>
          <w:sz w:val="24"/>
        </w:rPr>
        <w:t>省</w:t>
      </w:r>
      <w:r>
        <w:rPr>
          <w:rStyle w:val="35"/>
          <w:sz w:val="24"/>
        </w:rPr>
        <w:footnoteReference w:id="23"/>
      </w:r>
      <w:r>
        <w:rPr>
          <w:sz w:val="24"/>
        </w:rPr>
        <w:t>。总结三类农业指数保险产品</w:t>
      </w:r>
      <w:r>
        <w:rPr>
          <w:rFonts w:hint="eastAsia"/>
          <w:sz w:val="24"/>
          <w:szCs w:val="24"/>
        </w:rPr>
        <w:t>研究</w:t>
      </w:r>
      <w:r>
        <w:rPr>
          <w:sz w:val="24"/>
        </w:rPr>
        <w:t>的现状为：气象指数保险产品</w:t>
      </w:r>
      <w:r>
        <w:rPr>
          <w:rFonts w:hint="eastAsia"/>
          <w:sz w:val="24"/>
        </w:rPr>
        <w:t>的</w:t>
      </w:r>
      <w:r>
        <w:rPr>
          <w:rFonts w:hint="eastAsia"/>
          <w:sz w:val="24"/>
          <w:szCs w:val="24"/>
        </w:rPr>
        <w:t>研究</w:t>
      </w:r>
      <w:r>
        <w:rPr>
          <w:sz w:val="24"/>
        </w:rPr>
        <w:t>已比较成熟</w:t>
      </w:r>
      <w:r>
        <w:rPr>
          <w:rFonts w:hint="eastAsia"/>
          <w:sz w:val="24"/>
        </w:rPr>
        <w:t>，</w:t>
      </w:r>
      <w:r>
        <w:rPr>
          <w:sz w:val="24"/>
        </w:rPr>
        <w:t>在关键环节的方法选取上也具有多样性。产量指数保险产品</w:t>
      </w:r>
      <w:r>
        <w:rPr>
          <w:rFonts w:hint="eastAsia"/>
          <w:sz w:val="24"/>
        </w:rPr>
        <w:t>的</w:t>
      </w:r>
      <w:r>
        <w:rPr>
          <w:rFonts w:hint="eastAsia"/>
          <w:sz w:val="24"/>
          <w:szCs w:val="24"/>
        </w:rPr>
        <w:t>研究</w:t>
      </w:r>
      <w:r>
        <w:rPr>
          <w:sz w:val="24"/>
        </w:rPr>
        <w:t>较为统一</w:t>
      </w:r>
      <w:r>
        <w:rPr>
          <w:rFonts w:hint="eastAsia"/>
          <w:sz w:val="24"/>
        </w:rPr>
        <w:t>，但</w:t>
      </w:r>
      <w:r>
        <w:rPr>
          <w:sz w:val="24"/>
        </w:rPr>
        <w:t>在设计方法思路</w:t>
      </w:r>
      <w:r>
        <w:rPr>
          <w:rFonts w:hint="eastAsia"/>
          <w:sz w:val="24"/>
        </w:rPr>
        <w:t>上</w:t>
      </w:r>
      <w:r>
        <w:rPr>
          <w:sz w:val="24"/>
        </w:rPr>
        <w:t>缺乏</w:t>
      </w:r>
      <w:r>
        <w:rPr>
          <w:rFonts w:hint="eastAsia"/>
          <w:sz w:val="24"/>
        </w:rPr>
        <w:t>创新性</w:t>
      </w:r>
      <w:r>
        <w:rPr>
          <w:sz w:val="24"/>
        </w:rPr>
        <w:t>变换</w:t>
      </w:r>
      <w:r>
        <w:rPr>
          <w:rFonts w:hint="eastAsia"/>
          <w:sz w:val="24"/>
        </w:rPr>
        <w:t>。</w:t>
      </w:r>
      <w:r>
        <w:rPr>
          <w:sz w:val="24"/>
        </w:rPr>
        <w:t>收入指数保险产品</w:t>
      </w:r>
      <w:r>
        <w:rPr>
          <w:rFonts w:hint="eastAsia"/>
          <w:sz w:val="24"/>
        </w:rPr>
        <w:t>的</w:t>
      </w:r>
      <w:r>
        <w:rPr>
          <w:rFonts w:hint="eastAsia"/>
          <w:sz w:val="24"/>
          <w:szCs w:val="24"/>
        </w:rPr>
        <w:t>研究</w:t>
      </w:r>
      <w:r>
        <w:rPr>
          <w:sz w:val="24"/>
        </w:rPr>
        <w:t>才刚刚起步</w:t>
      </w:r>
      <w:r>
        <w:rPr>
          <w:rFonts w:hint="eastAsia"/>
          <w:sz w:val="24"/>
        </w:rPr>
        <w:t>，</w:t>
      </w:r>
      <w:r>
        <w:rPr>
          <w:sz w:val="24"/>
        </w:rPr>
        <w:t>采用的方法模式</w:t>
      </w:r>
      <w:r>
        <w:rPr>
          <w:rFonts w:hint="eastAsia"/>
          <w:sz w:val="24"/>
        </w:rPr>
        <w:t>非常</w:t>
      </w:r>
      <w:r>
        <w:rPr>
          <w:sz w:val="24"/>
        </w:rPr>
        <w:t>单一。</w:t>
      </w:r>
      <w:r>
        <w:rPr>
          <w:rFonts w:hint="eastAsia"/>
          <w:sz w:val="24"/>
        </w:rPr>
        <w:t>同时</w:t>
      </w:r>
      <w:r>
        <w:rPr>
          <w:sz w:val="24"/>
        </w:rPr>
        <w:t>不可否认的是，每一类</w:t>
      </w:r>
      <w:r>
        <w:rPr>
          <w:rFonts w:hint="eastAsia"/>
          <w:sz w:val="24"/>
        </w:rPr>
        <w:t>指数</w:t>
      </w:r>
      <w:r>
        <w:rPr>
          <w:sz w:val="24"/>
        </w:rPr>
        <w:t>保险产品均存在</w:t>
      </w:r>
      <w:r>
        <w:rPr>
          <w:rFonts w:hint="eastAsia"/>
          <w:sz w:val="24"/>
        </w:rPr>
        <w:t>相应的</w:t>
      </w:r>
      <w:r>
        <w:rPr>
          <w:sz w:val="24"/>
        </w:rPr>
        <w:t>设计缺陷与技术难题。</w:t>
      </w:r>
    </w:p>
    <w:p>
      <w:pPr>
        <w:pStyle w:val="3"/>
        <w:snapToGrid w:val="0"/>
        <w:spacing w:beforeLines="-2147483648" w:afterLines="-2147483648"/>
        <w:ind w:firstLine="0" w:firstLineChars="0"/>
        <w:rPr>
          <w:rFonts w:hint="eastAsia" w:ascii="Times New Roman" w:hAnsi="Times New Roman" w:cs="Times New Roman"/>
          <w:bCs/>
          <w:szCs w:val="32"/>
        </w:rPr>
      </w:pPr>
      <w:bookmarkStart w:id="98" w:name="_Toc487301944"/>
      <w:r>
        <w:rPr>
          <w:rFonts w:hint="eastAsia" w:ascii="Times New Roman" w:hAnsi="Times New Roman" w:cs="Times New Roman"/>
          <w:bCs/>
          <w:szCs w:val="32"/>
        </w:rPr>
        <w:t>2</w:t>
      </w:r>
      <w:r>
        <w:rPr>
          <w:rFonts w:ascii="Times New Roman" w:hAnsi="Times New Roman" w:cs="Times New Roman"/>
          <w:bCs/>
          <w:szCs w:val="32"/>
        </w:rPr>
        <w:t>.1气象指数保险产品</w:t>
      </w:r>
      <w:r>
        <w:rPr>
          <w:rFonts w:hint="eastAsia" w:ascii="Times New Roman" w:hAnsi="Times New Roman" w:cs="Times New Roman"/>
          <w:bCs/>
          <w:szCs w:val="32"/>
        </w:rPr>
        <w:t>研究</w:t>
      </w:r>
      <w:r>
        <w:rPr>
          <w:rFonts w:ascii="Times New Roman" w:hAnsi="Times New Roman" w:cs="Times New Roman"/>
          <w:bCs/>
          <w:szCs w:val="32"/>
        </w:rPr>
        <w:t>的</w:t>
      </w:r>
      <w:bookmarkEnd w:id="98"/>
      <w:r>
        <w:rPr>
          <w:rFonts w:hint="eastAsia" w:ascii="Times New Roman" w:hAnsi="Times New Roman" w:cs="Times New Roman"/>
          <w:bCs/>
          <w:szCs w:val="32"/>
        </w:rPr>
        <w:t>特点</w:t>
      </w:r>
    </w:p>
    <w:p>
      <w:pPr>
        <w:snapToGrid w:val="0"/>
        <w:spacing w:line="360" w:lineRule="auto"/>
        <w:ind w:firstLine="480" w:firstLineChars="200"/>
        <w:rPr>
          <w:sz w:val="24"/>
          <w:szCs w:val="24"/>
        </w:rPr>
      </w:pPr>
      <w:r>
        <w:rPr>
          <w:rFonts w:hint="eastAsia"/>
          <w:sz w:val="24"/>
          <w:szCs w:val="24"/>
        </w:rPr>
        <w:t>该部分</w:t>
      </w:r>
      <w:r>
        <w:rPr>
          <w:sz w:val="24"/>
          <w:szCs w:val="24"/>
        </w:rPr>
        <w:t>，</w:t>
      </w:r>
      <w:r>
        <w:rPr>
          <w:rFonts w:hint="eastAsia"/>
          <w:sz w:val="24"/>
          <w:szCs w:val="24"/>
        </w:rPr>
        <w:t>概述已有的气象指数保险产品研究，对已有的产品研究进行特点总结，</w:t>
      </w:r>
      <w:r>
        <w:rPr>
          <w:sz w:val="24"/>
          <w:szCs w:val="24"/>
        </w:rPr>
        <w:t>在了解产品科学性的前提下，</w:t>
      </w:r>
      <w:r>
        <w:rPr>
          <w:rFonts w:hint="eastAsia"/>
          <w:sz w:val="24"/>
          <w:szCs w:val="24"/>
        </w:rPr>
        <w:t>对产品研究过程中存在的技术难题进行总结</w:t>
      </w:r>
      <w:r>
        <w:rPr>
          <w:sz w:val="24"/>
          <w:szCs w:val="24"/>
        </w:rPr>
        <w:t>，为本</w:t>
      </w:r>
      <w:r>
        <w:rPr>
          <w:rFonts w:hint="eastAsia"/>
          <w:sz w:val="24"/>
          <w:szCs w:val="24"/>
        </w:rPr>
        <w:t>研究</w:t>
      </w:r>
      <w:r>
        <w:rPr>
          <w:sz w:val="24"/>
          <w:szCs w:val="24"/>
        </w:rPr>
        <w:t>下一步的产品</w:t>
      </w:r>
      <w:r>
        <w:rPr>
          <w:rFonts w:hint="eastAsia"/>
          <w:sz w:val="24"/>
          <w:szCs w:val="24"/>
        </w:rPr>
        <w:t>研究</w:t>
      </w:r>
      <w:r>
        <w:rPr>
          <w:sz w:val="24"/>
          <w:szCs w:val="24"/>
        </w:rPr>
        <w:t>设计研究提供理论支撑。</w:t>
      </w:r>
    </w:p>
    <w:p/>
    <w:p/>
    <w:p/>
    <w:p/>
    <w:p/>
    <w:p/>
    <w:p/>
    <w:p/>
    <w:p/>
    <w:p/>
    <w:p/>
    <w:p/>
    <w:p/>
    <w:p/>
    <w:p/>
    <w:p/>
    <w:p/>
    <w:p/>
    <w:p/>
    <w:p/>
    <w:p/>
    <w:p/>
    <w:p>
      <w:pPr>
        <w:snapToGrid w:val="0"/>
        <w:spacing w:line="360" w:lineRule="auto"/>
        <w:ind w:firstLine="472" w:firstLineChars="196"/>
        <w:rPr>
          <w:b/>
          <w:bCs/>
          <w:sz w:val="24"/>
        </w:rPr>
      </w:pPr>
      <w:r>
        <w:rPr>
          <w:rFonts w:hint="eastAsia"/>
          <w:b/>
          <w:bCs/>
          <w:sz w:val="24"/>
        </w:rPr>
        <w:t>图、表、公式的相关格式要求：</w:t>
      </w:r>
    </w:p>
    <w:p/>
    <w:p>
      <w:pPr>
        <w:spacing w:line="440" w:lineRule="atLeast"/>
        <w:jc w:val="center"/>
        <w:outlineLvl w:val="0"/>
        <w:rPr>
          <w:rFonts w:eastAsia="黑体"/>
        </w:rPr>
      </w:pPr>
      <w:r>
        <w:rPr>
          <w:rFonts w:eastAsia="黑体"/>
        </w:rPr>
        <w:drawing>
          <wp:inline distT="0" distB="0" distL="0" distR="0">
            <wp:extent cx="5279390" cy="2967355"/>
            <wp:effectExtent l="0" t="0" r="16510" b="444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pPr>
        <w:jc w:val="center"/>
        <w:rPr>
          <w:rFonts w:ascii="宋体" w:hAnsi="宋体"/>
        </w:rPr>
      </w:pPr>
      <w:r>
        <w:rPr>
          <w:rFonts w:hint="eastAsia" w:eastAsia="黑体"/>
        </w:rPr>
        <w:t>图5.1</w:t>
      </w:r>
      <w:r>
        <w:rPr>
          <w:rFonts w:hint="eastAsia" w:ascii="宋体" w:hAnsi="宋体"/>
        </w:rPr>
        <w:t>山东省四市小麦实际产量</w:t>
      </w:r>
    </w:p>
    <w:p>
      <w:pPr>
        <w:snapToGrid w:val="0"/>
        <w:jc w:val="center"/>
        <w:rPr>
          <w:rFonts w:eastAsia="黑体"/>
        </w:rPr>
      </w:pPr>
      <w:r>
        <w:rPr>
          <w:rFonts w:eastAsia="黑体"/>
        </w:rPr>
        <w:t>Fig.</w:t>
      </w:r>
      <w:r>
        <w:rPr>
          <w:rFonts w:hint="eastAsia" w:eastAsia="黑体"/>
        </w:rPr>
        <w:t xml:space="preserve">5.1 </w:t>
      </w:r>
      <w:r>
        <w:t>Graph The Actual Yield of Wheat in Four Cities of Shandong</w:t>
      </w:r>
    </w:p>
    <w:p>
      <w:pPr>
        <w:snapToGrid w:val="0"/>
        <w:ind w:firstLine="420"/>
        <w:rPr>
          <w:rFonts w:hint="eastAsia"/>
        </w:rPr>
      </w:pPr>
      <w:r>
        <w:rPr>
          <w:rFonts w:hint="eastAsia" w:eastAsia="黑体"/>
        </w:rPr>
        <w:t>数据来源：</w:t>
      </w:r>
      <w:r>
        <w:rPr>
          <w:rFonts w:hint="eastAsia"/>
        </w:rPr>
        <w:t>山东统计年鉴（第十三篇、农业篇），1993-2015。</w:t>
      </w:r>
    </w:p>
    <w:p>
      <w:pPr>
        <w:snapToGrid w:val="0"/>
        <w:ind w:firstLine="420"/>
        <w:rPr>
          <w:rFonts w:eastAsia="黑体"/>
        </w:rPr>
      </w:pPr>
      <w:r>
        <w:rPr>
          <w:rFonts w:eastAsia="黑体"/>
        </w:rPr>
        <w:drawing>
          <wp:inline distT="0" distB="0" distL="0" distR="0">
            <wp:extent cx="5201920" cy="3166110"/>
            <wp:effectExtent l="0" t="0" r="17780" b="15240"/>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jc w:val="center"/>
        <w:rPr>
          <w:rFonts w:ascii="宋体" w:hAnsi="宋体"/>
        </w:rPr>
      </w:pPr>
      <w:r>
        <w:rPr>
          <w:rFonts w:hint="eastAsia" w:eastAsia="黑体"/>
        </w:rPr>
        <w:t>图5.2</w:t>
      </w:r>
      <w:r>
        <w:rPr>
          <w:rFonts w:hint="eastAsia" w:ascii="宋体" w:hAnsi="宋体"/>
        </w:rPr>
        <w:t>山东省四市小麦实际产量与趋势产量</w:t>
      </w:r>
    </w:p>
    <w:p>
      <w:pPr>
        <w:jc w:val="center"/>
      </w:pPr>
      <w:r>
        <w:rPr>
          <w:rFonts w:eastAsia="黑体"/>
        </w:rPr>
        <w:t>Fig.</w:t>
      </w:r>
      <w:r>
        <w:rPr>
          <w:rFonts w:hint="eastAsia" w:eastAsia="黑体"/>
        </w:rPr>
        <w:t>5.2</w:t>
      </w:r>
      <w:r>
        <w:t xml:space="preserve"> Graph The Actual and Trend Yield of Wheat in Four Cities of Shandong</w:t>
      </w:r>
    </w:p>
    <w:p>
      <w:pPr>
        <w:snapToGrid w:val="0"/>
        <w:ind w:firstLine="420"/>
        <w:rPr>
          <w:rFonts w:hint="eastAsia"/>
          <w:lang w:eastAsia="zh-CN"/>
        </w:rPr>
      </w:pPr>
      <w:r>
        <w:rPr>
          <w:rFonts w:hint="eastAsia" w:eastAsia="黑体"/>
        </w:rPr>
        <w:t>数据来源：</w:t>
      </w:r>
      <w:r>
        <w:rPr>
          <w:rFonts w:hint="eastAsia"/>
        </w:rPr>
        <w:t>山东统计年鉴（第十三篇、农业篇），1993-2015</w:t>
      </w:r>
      <w:r>
        <w:rPr>
          <w:rFonts w:hint="eastAsia"/>
          <w:lang w:eastAsia="zh-CN"/>
        </w:rPr>
        <w:t>。</w:t>
      </w: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jc w:val="center"/>
        <w:rPr>
          <w:rFonts w:eastAsia="黑体"/>
        </w:rPr>
      </w:pPr>
      <w:r>
        <w:rPr>
          <w:rFonts w:eastAsia="黑体"/>
        </w:rPr>
        <w:t>表5</w:t>
      </w:r>
      <w:r>
        <w:rPr>
          <w:rFonts w:hint="eastAsia" w:eastAsia="黑体"/>
        </w:rPr>
        <w:t>.</w:t>
      </w:r>
      <w:r>
        <w:rPr>
          <w:rFonts w:eastAsia="黑体"/>
        </w:rPr>
        <w:t>1</w:t>
      </w:r>
      <w:r>
        <w:rPr>
          <w:rFonts w:hint="eastAsia" w:eastAsia="黑体"/>
        </w:rPr>
        <w:t xml:space="preserve"> </w:t>
      </w:r>
      <w:r>
        <w:rPr>
          <w:rFonts w:eastAsia="黑体"/>
        </w:rPr>
        <w:t>各地市玉米产量指标统计</w:t>
      </w:r>
      <w:r>
        <w:rPr>
          <w:rFonts w:hint="eastAsia" w:eastAsia="黑体"/>
        </w:rPr>
        <w:t>（千克/公顷）</w:t>
      </w:r>
    </w:p>
    <w:p>
      <w:pPr>
        <w:snapToGrid w:val="0"/>
        <w:jc w:val="center"/>
        <w:rPr>
          <w:rFonts w:eastAsia="黑体"/>
        </w:rPr>
      </w:pPr>
      <w:r>
        <w:rPr>
          <w:rFonts w:eastAsia="黑体"/>
        </w:rPr>
        <w:t>Table 5</w:t>
      </w:r>
      <w:r>
        <w:rPr>
          <w:rFonts w:hint="eastAsia" w:eastAsia="黑体"/>
        </w:rPr>
        <w:t>.</w:t>
      </w:r>
      <w:r>
        <w:rPr>
          <w:rFonts w:eastAsia="黑体"/>
        </w:rPr>
        <w:t>1</w:t>
      </w:r>
      <w:r>
        <w:rPr>
          <w:rFonts w:hint="eastAsia" w:eastAsia="黑体"/>
        </w:rPr>
        <w:t xml:space="preserve"> Statistics of Corn Yields in Every City（</w:t>
      </w:r>
      <w:r>
        <w:rPr>
          <w:rFonts w:eastAsia="黑体"/>
        </w:rPr>
        <w:t xml:space="preserve">Kg / </w:t>
      </w:r>
      <w:r>
        <w:rPr>
          <w:rFonts w:hint="eastAsia" w:eastAsia="黑体"/>
        </w:rPr>
        <w:t>H</w:t>
      </w:r>
      <w:r>
        <w:rPr>
          <w:rFonts w:eastAsia="黑体"/>
        </w:rPr>
        <w:t>a</w:t>
      </w:r>
      <w:r>
        <w:rPr>
          <w:rFonts w:hint="eastAsia" w:eastAsia="黑体"/>
        </w:rPr>
        <w:t>）</w:t>
      </w:r>
    </w:p>
    <w:p>
      <w:pPr>
        <w:snapToGrid w:val="0"/>
        <w:ind w:firstLine="420"/>
        <w:rPr>
          <w:rFonts w:hint="eastAsia"/>
          <w:lang w:eastAsia="zh-CN"/>
        </w:rPr>
      </w:pPr>
    </w:p>
    <w:tbl>
      <w:tblPr>
        <w:tblStyle w:val="22"/>
        <w:tblW w:w="9286" w:type="dxa"/>
        <w:jc w:val="center"/>
        <w:tblLayout w:type="fixed"/>
        <w:tblCellMar>
          <w:top w:w="0" w:type="dxa"/>
          <w:left w:w="108" w:type="dxa"/>
          <w:bottom w:w="0" w:type="dxa"/>
          <w:right w:w="108" w:type="dxa"/>
        </w:tblCellMar>
      </w:tblPr>
      <w:tblGrid>
        <w:gridCol w:w="2104"/>
        <w:gridCol w:w="1798"/>
        <w:gridCol w:w="1798"/>
        <w:gridCol w:w="1794"/>
        <w:gridCol w:w="1792"/>
      </w:tblGrid>
      <w:tr>
        <w:tblPrEx>
          <w:tblCellMar>
            <w:top w:w="0" w:type="dxa"/>
            <w:left w:w="108" w:type="dxa"/>
            <w:bottom w:w="0" w:type="dxa"/>
            <w:right w:w="108" w:type="dxa"/>
          </w:tblCellMar>
        </w:tblPrEx>
        <w:trPr>
          <w:trHeight w:val="315" w:hRule="atLeast"/>
          <w:jc w:val="center"/>
        </w:trPr>
        <w:tc>
          <w:tcPr>
            <w:tcW w:w="2104"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变量</w:t>
            </w:r>
          </w:p>
        </w:tc>
        <w:tc>
          <w:tcPr>
            <w:tcW w:w="1798"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均值</w:t>
            </w:r>
          </w:p>
        </w:tc>
        <w:tc>
          <w:tcPr>
            <w:tcW w:w="1798"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最小值</w:t>
            </w:r>
          </w:p>
        </w:tc>
        <w:tc>
          <w:tcPr>
            <w:tcW w:w="1794"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中值</w:t>
            </w:r>
          </w:p>
        </w:tc>
        <w:tc>
          <w:tcPr>
            <w:tcW w:w="1792"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最大值</w:t>
            </w:r>
          </w:p>
        </w:tc>
      </w:tr>
      <w:tr>
        <w:tblPrEx>
          <w:tblCellMar>
            <w:top w:w="0" w:type="dxa"/>
            <w:left w:w="108" w:type="dxa"/>
            <w:bottom w:w="0" w:type="dxa"/>
            <w:right w:w="108" w:type="dxa"/>
          </w:tblCellMar>
        </w:tblPrEx>
        <w:trPr>
          <w:trHeight w:val="315" w:hRule="atLeast"/>
          <w:jc w:val="center"/>
        </w:trPr>
        <w:tc>
          <w:tcPr>
            <w:tcW w:w="2104" w:type="dxa"/>
            <w:tcBorders>
              <w:top w:val="single" w:color="auto" w:sz="8" w:space="0"/>
              <w:left w:val="nil"/>
              <w:bottom w:val="nil"/>
              <w:right w:val="nil"/>
            </w:tcBorders>
            <w:tcMar>
              <w:left w:w="0" w:type="dxa"/>
              <w:right w:w="0" w:type="dxa"/>
            </w:tcMar>
            <w:vAlign w:val="center"/>
          </w:tcPr>
          <w:p>
            <w:pPr>
              <w:widowControl/>
              <w:jc w:val="center"/>
              <w:rPr>
                <w:kern w:val="0"/>
              </w:rPr>
            </w:pPr>
            <w:r>
              <w:rPr>
                <w:kern w:val="0"/>
              </w:rPr>
              <w:t xml:space="preserve">济 </w:t>
            </w:r>
            <w:r>
              <w:rPr>
                <w:rFonts w:eastAsia="汉仪报宋简"/>
                <w:kern w:val="0"/>
              </w:rPr>
              <w:t>南</w:t>
            </w:r>
            <w:r>
              <w:rPr>
                <w:kern w:val="0"/>
              </w:rPr>
              <w:t xml:space="preserve"> </w:t>
            </w:r>
            <w:r>
              <w:rPr>
                <w:rFonts w:eastAsia="汉仪报宋简"/>
                <w:kern w:val="0"/>
              </w:rPr>
              <w:t>市</w:t>
            </w:r>
          </w:p>
        </w:tc>
        <w:tc>
          <w:tcPr>
            <w:tcW w:w="1798"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6284.62 </w:t>
            </w:r>
          </w:p>
        </w:tc>
        <w:tc>
          <w:tcPr>
            <w:tcW w:w="1798"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5005 </w:t>
            </w:r>
          </w:p>
        </w:tc>
        <w:tc>
          <w:tcPr>
            <w:tcW w:w="1794"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6342 </w:t>
            </w:r>
          </w:p>
        </w:tc>
        <w:tc>
          <w:tcPr>
            <w:tcW w:w="1792"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6944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青 </w:t>
            </w:r>
            <w:r>
              <w:rPr>
                <w:rFonts w:eastAsia="汉仪报宋简"/>
                <w:kern w:val="0"/>
              </w:rPr>
              <w:t>岛</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6819.62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4095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6991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7520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淄 </w:t>
            </w:r>
            <w:r>
              <w:rPr>
                <w:rFonts w:eastAsia="汉仪报宋简"/>
                <w:kern w:val="0"/>
              </w:rPr>
              <w:t>博</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6953.10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5368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7749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枣 </w:t>
            </w:r>
            <w:r>
              <w:rPr>
                <w:rFonts w:eastAsia="汉仪报宋简"/>
                <w:kern w:val="0"/>
              </w:rPr>
              <w:t>庄</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6990.14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5340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7525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东 </w:t>
            </w:r>
            <w:r>
              <w:rPr>
                <w:rFonts w:eastAsia="汉仪报宋简"/>
                <w:kern w:val="0"/>
              </w:rPr>
              <w:t>营</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6274.33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4378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6244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7573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烟 </w:t>
            </w:r>
            <w:r>
              <w:rPr>
                <w:rFonts w:eastAsia="汉仪报宋简"/>
                <w:kern w:val="0"/>
              </w:rPr>
              <w:t>台</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6719.14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4641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7498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潍 </w:t>
            </w:r>
            <w:r>
              <w:rPr>
                <w:rFonts w:eastAsia="汉仪报宋简"/>
                <w:kern w:val="0"/>
              </w:rPr>
              <w:t>坊</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6490.38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5044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6640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7425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济 </w:t>
            </w:r>
            <w:r>
              <w:rPr>
                <w:rFonts w:eastAsia="汉仪报宋简"/>
                <w:kern w:val="0"/>
              </w:rPr>
              <w:t>宁</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7069.90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6053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7354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8055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泰 </w:t>
            </w:r>
            <w:r>
              <w:rPr>
                <w:rFonts w:eastAsia="汉仪报宋简"/>
                <w:kern w:val="0"/>
              </w:rPr>
              <w:t>安</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7544.90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5967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7707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8090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威 </w:t>
            </w:r>
            <w:r>
              <w:rPr>
                <w:rFonts w:eastAsia="汉仪报宋简"/>
                <w:kern w:val="0"/>
              </w:rPr>
              <w:t>海</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6420.29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2900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6762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7382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日 </w:t>
            </w:r>
            <w:r>
              <w:rPr>
                <w:rFonts w:eastAsia="汉仪报宋简"/>
                <w:kern w:val="0"/>
              </w:rPr>
              <w:t>照</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6418.19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4569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6571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7671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莱 </w:t>
            </w:r>
            <w:r>
              <w:rPr>
                <w:rFonts w:eastAsia="汉仪报宋简"/>
                <w:kern w:val="0"/>
              </w:rPr>
              <w:t>芜</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6530.48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4942</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5836</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9369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临 </w:t>
            </w:r>
            <w:r>
              <w:rPr>
                <w:rFonts w:eastAsia="汉仪报宋简"/>
                <w:kern w:val="0"/>
              </w:rPr>
              <w:t>沂</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5867.29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4545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5862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6947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德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6954.57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5222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6979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8401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聊 </w:t>
            </w:r>
            <w:r>
              <w:rPr>
                <w:rFonts w:eastAsia="汉仪报宋简"/>
                <w:kern w:val="0"/>
              </w:rPr>
              <w:t>城</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5991.76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4386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6249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7004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滨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6015.95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3279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5858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7392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single" w:color="auto" w:sz="12" w:space="0"/>
              <w:right w:val="nil"/>
            </w:tcBorders>
            <w:tcMar>
              <w:left w:w="0" w:type="dxa"/>
              <w:right w:w="0" w:type="dxa"/>
            </w:tcMar>
            <w:vAlign w:val="center"/>
          </w:tcPr>
          <w:p>
            <w:pPr>
              <w:widowControl/>
              <w:jc w:val="center"/>
              <w:rPr>
                <w:kern w:val="0"/>
              </w:rPr>
            </w:pPr>
            <w:r>
              <w:rPr>
                <w:kern w:val="0"/>
              </w:rPr>
              <w:t xml:space="preserve">菏 </w:t>
            </w:r>
            <w:r>
              <w:rPr>
                <w:rFonts w:eastAsia="汉仪报宋简"/>
                <w:kern w:val="0"/>
              </w:rPr>
              <w:t>泽</w:t>
            </w:r>
            <w:r>
              <w:rPr>
                <w:kern w:val="0"/>
              </w:rPr>
              <w:t xml:space="preserve"> </w:t>
            </w:r>
            <w:r>
              <w:rPr>
                <w:rFonts w:eastAsia="汉仪报宋简"/>
                <w:kern w:val="0"/>
              </w:rPr>
              <w:t>市</w:t>
            </w:r>
          </w:p>
        </w:tc>
        <w:tc>
          <w:tcPr>
            <w:tcW w:w="1798"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5543.95 </w:t>
            </w:r>
          </w:p>
        </w:tc>
        <w:tc>
          <w:tcPr>
            <w:tcW w:w="1798"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4408 </w:t>
            </w:r>
          </w:p>
        </w:tc>
        <w:tc>
          <w:tcPr>
            <w:tcW w:w="1794"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5646 </w:t>
            </w:r>
          </w:p>
        </w:tc>
        <w:tc>
          <w:tcPr>
            <w:tcW w:w="1792"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6269 </w:t>
            </w:r>
          </w:p>
        </w:tc>
      </w:tr>
    </w:tbl>
    <w:p>
      <w:pPr>
        <w:snapToGrid w:val="0"/>
        <w:ind w:firstLine="420" w:firstLineChars="200"/>
        <w:jc w:val="both"/>
        <w:rPr>
          <w:rFonts w:hint="eastAsia" w:ascii="黑体" w:eastAsia="黑体"/>
          <w:color w:val="000000"/>
        </w:rPr>
      </w:pPr>
      <w:r>
        <w:rPr>
          <w:rFonts w:hint="eastAsia"/>
        </w:rPr>
        <w:t>数据来源：山东省统计鉴（农业篇），2001-2015。</w:t>
      </w:r>
    </w:p>
    <w:p>
      <w:pPr>
        <w:snapToGrid w:val="0"/>
        <w:jc w:val="center"/>
        <w:rPr>
          <w:rFonts w:hint="eastAsia" w:ascii="黑体" w:eastAsia="黑体"/>
          <w:color w:val="000000"/>
        </w:rPr>
      </w:pPr>
    </w:p>
    <w:p>
      <w:pPr>
        <w:snapToGrid w:val="0"/>
        <w:jc w:val="center"/>
        <w:rPr>
          <w:rFonts w:hint="eastAsia" w:ascii="黑体" w:eastAsia="黑体"/>
          <w:color w:val="000000"/>
        </w:rPr>
      </w:pPr>
    </w:p>
    <w:p>
      <w:pPr>
        <w:snapToGrid w:val="0"/>
        <w:jc w:val="center"/>
        <w:rPr>
          <w:rFonts w:ascii="黑体" w:eastAsia="黑体"/>
          <w:color w:val="000000"/>
        </w:rPr>
      </w:pPr>
      <w:r>
        <w:rPr>
          <w:rFonts w:hint="eastAsia" w:ascii="黑体" w:eastAsia="黑体"/>
          <w:color w:val="000000"/>
        </w:rPr>
        <w:t>表5.2 德州市玉米价格与产量统计表</w:t>
      </w:r>
    </w:p>
    <w:p>
      <w:pPr>
        <w:snapToGrid w:val="0"/>
        <w:jc w:val="center"/>
        <w:rPr>
          <w:rFonts w:hint="eastAsia" w:eastAsia="黑体"/>
        </w:rPr>
      </w:pPr>
      <w:r>
        <w:rPr>
          <w:rFonts w:hint="eastAsia" w:eastAsia="黑体"/>
        </w:rPr>
        <w:t>Tab.5.2 Corn Price and yield of dezhou</w:t>
      </w:r>
    </w:p>
    <w:p>
      <w:pPr>
        <w:snapToGrid w:val="0"/>
        <w:jc w:val="center"/>
        <w:rPr>
          <w:rFonts w:hint="eastAsia" w:eastAsia="黑体"/>
        </w:rPr>
      </w:pPr>
    </w:p>
    <w:tbl>
      <w:tblPr>
        <w:tblStyle w:val="22"/>
        <w:tblW w:w="9126" w:type="dxa"/>
        <w:jc w:val="center"/>
        <w:tblLayout w:type="fixed"/>
        <w:tblCellMar>
          <w:top w:w="0" w:type="dxa"/>
          <w:left w:w="108" w:type="dxa"/>
          <w:bottom w:w="0" w:type="dxa"/>
          <w:right w:w="108" w:type="dxa"/>
        </w:tblCellMar>
      </w:tblPr>
      <w:tblGrid>
        <w:gridCol w:w="2680"/>
        <w:gridCol w:w="3621"/>
        <w:gridCol w:w="2825"/>
      </w:tblGrid>
      <w:tr>
        <w:tblPrEx>
          <w:tblCellMar>
            <w:top w:w="0" w:type="dxa"/>
            <w:left w:w="108" w:type="dxa"/>
            <w:bottom w:w="0" w:type="dxa"/>
            <w:right w:w="108" w:type="dxa"/>
          </w:tblCellMar>
        </w:tblPrEx>
        <w:trPr>
          <w:trHeight w:val="285" w:hRule="atLeast"/>
          <w:jc w:val="center"/>
        </w:trPr>
        <w:tc>
          <w:tcPr>
            <w:tcW w:w="2680"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年份(年)</w:t>
            </w:r>
          </w:p>
        </w:tc>
        <w:tc>
          <w:tcPr>
            <w:tcW w:w="3621"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价格（</w:t>
            </w:r>
            <w:r>
              <w:rPr>
                <w:rFonts w:hint="eastAsia" w:ascii="黑体" w:eastAsia="黑体"/>
                <w:color w:val="000000"/>
              </w:rPr>
              <w:t>元/吨</w:t>
            </w:r>
            <w:r>
              <w:rPr>
                <w:rFonts w:hint="eastAsia" w:ascii="宋体" w:hAnsi="宋体" w:cs="宋体"/>
                <w:kern w:val="0"/>
              </w:rPr>
              <w:t>）</w:t>
            </w:r>
          </w:p>
        </w:tc>
        <w:tc>
          <w:tcPr>
            <w:tcW w:w="2825"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单产（千克/公顷）</w:t>
            </w:r>
          </w:p>
        </w:tc>
      </w:tr>
      <w:tr>
        <w:tblPrEx>
          <w:tblCellMar>
            <w:top w:w="0" w:type="dxa"/>
            <w:left w:w="108" w:type="dxa"/>
            <w:bottom w:w="0" w:type="dxa"/>
            <w:right w:w="108" w:type="dxa"/>
          </w:tblCellMar>
        </w:tblPrEx>
        <w:trPr>
          <w:trHeight w:val="285" w:hRule="atLeast"/>
          <w:jc w:val="center"/>
        </w:trPr>
        <w:tc>
          <w:tcPr>
            <w:tcW w:w="2680" w:type="dxa"/>
            <w:tcBorders>
              <w:top w:val="single" w:color="auto" w:sz="8" w:space="0"/>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2007</w:t>
            </w:r>
          </w:p>
        </w:tc>
        <w:tc>
          <w:tcPr>
            <w:tcW w:w="3621" w:type="dxa"/>
            <w:tcBorders>
              <w:top w:val="single" w:color="auto" w:sz="8" w:space="0"/>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1568.51 </w:t>
            </w:r>
          </w:p>
        </w:tc>
        <w:tc>
          <w:tcPr>
            <w:tcW w:w="2825" w:type="dxa"/>
            <w:tcBorders>
              <w:top w:val="single" w:color="auto" w:sz="8" w:space="0"/>
              <w:left w:val="nil"/>
              <w:bottom w:val="nil"/>
              <w:right w:val="nil"/>
            </w:tcBorders>
            <w:tcMar>
              <w:left w:w="28" w:type="dxa"/>
              <w:right w:w="28" w:type="dxa"/>
            </w:tcMar>
            <w:vAlign w:val="center"/>
          </w:tcPr>
          <w:p>
            <w:pPr>
              <w:jc w:val="center"/>
              <w:rPr>
                <w:sz w:val="24"/>
                <w:szCs w:val="24"/>
              </w:rPr>
            </w:pPr>
            <w:r>
              <w:t xml:space="preserve">7344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2008</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1615.68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7519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2009</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1639.85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8401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2010</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1970.31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8331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2011</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2229.53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8350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2012</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2281.59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8206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2013</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2303.82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7935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2014</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2356.08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7928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single" w:color="auto" w:sz="12"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2015</w:t>
            </w:r>
          </w:p>
        </w:tc>
        <w:tc>
          <w:tcPr>
            <w:tcW w:w="3621" w:type="dxa"/>
            <w:tcBorders>
              <w:top w:val="nil"/>
              <w:left w:val="nil"/>
              <w:bottom w:val="single" w:color="auto" w:sz="12"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2124.95 </w:t>
            </w:r>
          </w:p>
        </w:tc>
        <w:tc>
          <w:tcPr>
            <w:tcW w:w="2825" w:type="dxa"/>
            <w:tcBorders>
              <w:top w:val="nil"/>
              <w:left w:val="nil"/>
              <w:bottom w:val="single" w:color="auto" w:sz="12" w:space="0"/>
              <w:right w:val="nil"/>
            </w:tcBorders>
            <w:tcMar>
              <w:left w:w="28" w:type="dxa"/>
              <w:right w:w="28" w:type="dxa"/>
            </w:tcMar>
            <w:vAlign w:val="bottom"/>
          </w:tcPr>
          <w:p>
            <w:pPr>
              <w:jc w:val="center"/>
              <w:rPr>
                <w:sz w:val="24"/>
                <w:szCs w:val="24"/>
              </w:rPr>
            </w:pPr>
            <w:r>
              <w:t xml:space="preserve">7835 </w:t>
            </w:r>
          </w:p>
        </w:tc>
      </w:tr>
    </w:tbl>
    <w:p>
      <w:pPr>
        <w:spacing w:line="440" w:lineRule="atLeast"/>
        <w:ind w:firstLine="420" w:firstLineChars="200"/>
        <w:jc w:val="both"/>
        <w:outlineLvl w:val="0"/>
        <w:rPr>
          <w:rFonts w:hint="eastAsia" w:ascii="黑体" w:hAnsi="黑体" w:eastAsia="黑体" w:cs="黑体"/>
          <w:sz w:val="36"/>
          <w:szCs w:val="36"/>
        </w:rPr>
      </w:pPr>
      <w:r>
        <w:rPr>
          <w:rFonts w:hint="eastAsia"/>
        </w:rPr>
        <w:t>数据来源：山东省统计鉴（农业篇），2001-2015。</w:t>
      </w:r>
    </w:p>
    <w:p>
      <w:pPr>
        <w:spacing w:line="440" w:lineRule="atLeast"/>
        <w:jc w:val="center"/>
        <w:outlineLvl w:val="0"/>
        <w:rPr>
          <w:rFonts w:hint="eastAsia" w:ascii="黑体" w:hAnsi="黑体" w:eastAsia="黑体" w:cs="黑体"/>
          <w:sz w:val="36"/>
          <w:szCs w:val="36"/>
        </w:rPr>
      </w:pPr>
    </w:p>
    <w:p>
      <w:pPr>
        <w:spacing w:line="440" w:lineRule="atLeast"/>
        <w:jc w:val="center"/>
        <w:outlineLvl w:val="0"/>
        <w:rPr>
          <w:rFonts w:hint="eastAsia" w:ascii="黑体" w:hAnsi="黑体" w:eastAsia="黑体" w:cs="黑体"/>
          <w:sz w:val="36"/>
          <w:szCs w:val="36"/>
        </w:rPr>
      </w:pPr>
    </w:p>
    <w:p>
      <w:pPr>
        <w:spacing w:line="440" w:lineRule="atLeast"/>
        <w:jc w:val="center"/>
        <w:outlineLvl w:val="0"/>
        <w:rPr>
          <w:rFonts w:hint="eastAsia" w:ascii="黑体" w:hAnsi="黑体" w:eastAsia="黑体" w:cs="黑体"/>
          <w:sz w:val="36"/>
          <w:szCs w:val="36"/>
        </w:rPr>
      </w:pPr>
    </w:p>
    <w:p>
      <w:pPr>
        <w:spacing w:line="440" w:lineRule="atLeast"/>
        <w:jc w:val="both"/>
        <w:outlineLvl w:val="0"/>
        <w:rPr>
          <w:rFonts w:hint="eastAsia" w:ascii="黑体" w:hAnsi="黑体" w:eastAsia="黑体" w:cs="黑体"/>
          <w:sz w:val="36"/>
          <w:szCs w:val="36"/>
        </w:rPr>
      </w:pPr>
    </w:p>
    <w:p>
      <w:pPr>
        <w:spacing w:line="440" w:lineRule="atLeast"/>
        <w:jc w:val="center"/>
        <w:outlineLvl w:val="0"/>
        <w:rPr>
          <w:position w:val="-12"/>
          <w:sz w:val="24"/>
          <w:szCs w:val="24"/>
        </w:rPr>
      </w:pPr>
      <w:r>
        <w:rPr>
          <w:position w:val="-12"/>
          <w:sz w:val="24"/>
          <w:szCs w:val="24"/>
        </w:rPr>
        <w:object>
          <v:shape id="_x0000_i1025" o:spt="75" type="#_x0000_t75" style="height:18.35pt;width:66.55pt;" o:ole="t" filled="f" o:preferrelative="t" stroked="f" coordsize="21600,21600">
            <v:path/>
            <v:fill on="f" focussize="0,0"/>
            <v:stroke on="f" joinstyle="miter"/>
            <v:imagedata r:id="rId22" o:title=""/>
            <o:lock v:ext="edit" aspectratio="t"/>
            <w10:wrap type="none"/>
            <w10:anchorlock/>
          </v:shape>
          <o:OLEObject Type="Embed" ProgID="Equation.3" ShapeID="_x0000_i1025" DrawAspect="Content" ObjectID="_1468075725" r:id="rId21">
            <o:LockedField>false</o:LockedField>
          </o:OLEObject>
        </w:object>
      </w:r>
    </w:p>
    <w:p>
      <w:pPr>
        <w:spacing w:line="440" w:lineRule="atLeast"/>
        <w:jc w:val="center"/>
        <w:outlineLvl w:val="0"/>
        <w:rPr>
          <w:position w:val="-24"/>
          <w:sz w:val="24"/>
          <w:szCs w:val="24"/>
        </w:rPr>
      </w:pPr>
      <w:r>
        <w:rPr>
          <w:position w:val="-24"/>
          <w:sz w:val="24"/>
          <w:szCs w:val="24"/>
        </w:rPr>
        <w:object>
          <v:shape id="_x0000_i1026" o:spt="75" type="#_x0000_t75" style="height:31.25pt;width:114.1pt;" o:ole="t" filled="f" o:preferrelative="t" stroked="f" coordsize="21600,21600">
            <v:path/>
            <v:fill on="f" focussize="0,0"/>
            <v:stroke on="f" joinstyle="miter"/>
            <v:imagedata r:id="rId24" o:title=""/>
            <o:lock v:ext="edit" aspectratio="t"/>
            <w10:wrap type="none"/>
            <w10:anchorlock/>
          </v:shape>
          <o:OLEObject Type="Embed" ProgID="Equation.3" ShapeID="_x0000_i1026" DrawAspect="Content" ObjectID="_1468075726" r:id="rId23">
            <o:LockedField>false</o:LockedField>
          </o:OLEObject>
        </w:object>
      </w:r>
    </w:p>
    <w:p>
      <w:pPr>
        <w:spacing w:line="440" w:lineRule="atLeast"/>
        <w:jc w:val="center"/>
        <w:outlineLvl w:val="0"/>
        <w:rPr>
          <w:position w:val="-68"/>
          <w:sz w:val="24"/>
          <w:szCs w:val="24"/>
        </w:rPr>
      </w:pPr>
      <w:r>
        <w:rPr>
          <w:position w:val="-68"/>
          <w:sz w:val="24"/>
          <w:szCs w:val="24"/>
        </w:rPr>
        <w:object>
          <v:shape id="_x0000_i1027" o:spt="75" type="#_x0000_t75" style="height:74.05pt;width:141.95pt;" o:ole="t" filled="f" o:preferrelative="t" stroked="f" coordsize="21600,21600">
            <v:path/>
            <v:fill on="f" focussize="0,0"/>
            <v:stroke on="f" joinstyle="miter"/>
            <v:imagedata r:id="rId26" o:title=""/>
            <o:lock v:ext="edit" aspectratio="t"/>
            <w10:wrap type="none"/>
            <w10:anchorlock/>
          </v:shape>
          <o:OLEObject Type="Embed" ProgID="Equation.3" ShapeID="_x0000_i1027" DrawAspect="Content" ObjectID="_1468075727" r:id="rId25">
            <o:LockedField>false</o:LockedField>
          </o:OLEObject>
        </w:object>
      </w:r>
    </w:p>
    <w:p>
      <w:pPr>
        <w:spacing w:line="440" w:lineRule="atLeast"/>
        <w:jc w:val="center"/>
        <w:outlineLvl w:val="0"/>
        <w:rPr>
          <w:position w:val="-68"/>
          <w:sz w:val="24"/>
          <w:szCs w:val="24"/>
        </w:rPr>
      </w:pPr>
      <w:r>
        <w:rPr>
          <w:position w:val="-14"/>
          <w:sz w:val="24"/>
          <w:szCs w:val="24"/>
        </w:rPr>
        <w:object>
          <v:shape id="_x0000_i1029" o:spt="75" type="#_x0000_t75" style="height:19.7pt;width:88.3pt;" o:ole="t" filled="f" o:preferrelative="t" stroked="f" coordsize="21600,21600">
            <v:path/>
            <v:fill on="f" focussize="0,0"/>
            <v:stroke on="f" joinstyle="miter"/>
            <v:imagedata r:id="rId28" o:title=""/>
            <o:lock v:ext="edit" aspectratio="t"/>
            <w10:wrap type="none"/>
            <w10:anchorlock/>
          </v:shape>
          <o:OLEObject Type="Embed" ProgID="Equation.3" ShapeID="_x0000_i1029" DrawAspect="Content" ObjectID="_1468075728" r:id="rId27">
            <o:LockedField>false</o:LockedField>
          </o:OLEObject>
        </w:object>
      </w:r>
    </w:p>
    <w:p>
      <w:pPr>
        <w:spacing w:line="440" w:lineRule="atLeast"/>
        <w:jc w:val="center"/>
        <w:outlineLvl w:val="0"/>
        <w:rPr>
          <w:position w:val="-86"/>
          <w:sz w:val="24"/>
          <w:szCs w:val="24"/>
        </w:rPr>
      </w:pPr>
      <w:r>
        <w:rPr>
          <w:position w:val="-86"/>
          <w:sz w:val="24"/>
          <w:szCs w:val="24"/>
        </w:rPr>
        <w:object>
          <v:shape id="_x0000_i1028" o:spt="75" type="#_x0000_t75" style="height:91.7pt;width:199pt;" o:ole="t" filled="f" o:preferrelative="t" stroked="f" coordsize="21600,21600">
            <v:path/>
            <v:fill on="f" focussize="0,0"/>
            <v:stroke on="f" joinstyle="miter"/>
            <v:imagedata r:id="rId30" o:title=""/>
            <o:lock v:ext="edit" aspectratio="t"/>
            <w10:wrap type="none"/>
            <w10:anchorlock/>
          </v:shape>
          <o:OLEObject Type="Embed" ProgID="Equation.3" ShapeID="_x0000_i1028" DrawAspect="Content" ObjectID="_1468075729" r:id="rId29">
            <o:LockedField>false</o:LockedField>
          </o:OLEObject>
        </w:object>
      </w:r>
    </w:p>
    <w:p>
      <w:pPr>
        <w:spacing w:line="440" w:lineRule="atLeast"/>
        <w:jc w:val="center"/>
        <w:outlineLvl w:val="0"/>
        <w:rPr>
          <w:position w:val="-86"/>
          <w:sz w:val="24"/>
          <w:szCs w:val="24"/>
        </w:rPr>
      </w:pPr>
    </w:p>
    <w:p>
      <w:pPr>
        <w:spacing w:line="440" w:lineRule="atLeast"/>
        <w:jc w:val="center"/>
        <w:outlineLvl w:val="0"/>
        <w:rPr>
          <w:position w:val="-86"/>
          <w:sz w:val="24"/>
          <w:szCs w:val="24"/>
        </w:rPr>
      </w:pPr>
    </w:p>
    <w:p>
      <w:pPr>
        <w:spacing w:line="440" w:lineRule="atLeast"/>
        <w:jc w:val="both"/>
        <w:outlineLvl w:val="0"/>
        <w:rPr>
          <w:rFonts w:ascii="黑体" w:hAnsi="黑体" w:eastAsia="黑体" w:cs="黑体"/>
          <w:sz w:val="36"/>
          <w:szCs w:val="36"/>
        </w:rPr>
      </w:pPr>
      <w:r>
        <w:rPr>
          <w:rFonts w:hint="eastAsia" w:ascii="黑体" w:hAnsi="黑体" w:eastAsia="黑体" w:cs="黑体"/>
          <w:sz w:val="36"/>
          <w:szCs w:val="36"/>
        </w:rPr>
        <w:br w:type="page"/>
      </w:r>
    </w:p>
    <w:bookmarkEnd w:id="96"/>
    <w:bookmarkEnd w:id="97"/>
    <w:p>
      <w:pPr>
        <w:pStyle w:val="2"/>
        <w:jc w:val="center"/>
      </w:pPr>
      <w:bookmarkStart w:id="99" w:name="_Toc481076066"/>
      <w:bookmarkStart w:id="100" w:name="_Toc21694"/>
      <w:bookmarkStart w:id="101" w:name="_Toc20528"/>
      <w:bookmarkStart w:id="102" w:name="_Toc26796"/>
      <w:bookmarkStart w:id="103" w:name="_Toc6672"/>
      <w:r>
        <w:t>参考文献</w:t>
      </w:r>
      <w:bookmarkEnd w:id="99"/>
    </w:p>
    <w:p>
      <w:pPr>
        <w:snapToGrid w:val="0"/>
        <w:spacing w:line="360" w:lineRule="auto"/>
        <w:rPr>
          <w:sz w:val="24"/>
          <w:szCs w:val="24"/>
        </w:rPr>
      </w:pPr>
      <w:r>
        <w:rPr>
          <w:sz w:val="24"/>
          <w:szCs w:val="24"/>
        </w:rPr>
        <w:t>[1]Skees，J．R．，P．Hazell and M．Miranda．New Approaches to Publish/Private Crop Yield Insurance[R]．Published by The World Bank，Washington，1999．</w:t>
      </w:r>
    </w:p>
    <w:p>
      <w:pPr>
        <w:snapToGrid w:val="0"/>
        <w:spacing w:line="360" w:lineRule="auto"/>
        <w:rPr>
          <w:sz w:val="24"/>
          <w:szCs w:val="24"/>
        </w:rPr>
      </w:pPr>
      <w:r>
        <w:rPr>
          <w:sz w:val="24"/>
          <w:szCs w:val="24"/>
        </w:rPr>
        <w:t>[</w:t>
      </w:r>
      <w:r>
        <w:rPr>
          <w:rFonts w:hint="eastAsia"/>
          <w:sz w:val="24"/>
          <w:szCs w:val="24"/>
        </w:rPr>
        <w:t>2</w:t>
      </w:r>
      <w:r>
        <w:rPr>
          <w:sz w:val="24"/>
          <w:szCs w:val="24"/>
        </w:rPr>
        <w:t>]Conradt，S．，R．Finger and M．Sporri．Flexible weather index-based insurance design［J］．Climate Risk Management，2015</w:t>
      </w:r>
      <w:r>
        <w:rPr>
          <w:rFonts w:hint="eastAsia"/>
          <w:sz w:val="24"/>
          <w:szCs w:val="24"/>
        </w:rPr>
        <w:t>，</w:t>
      </w:r>
      <w:r>
        <w:rPr>
          <w:sz w:val="24"/>
          <w:szCs w:val="24"/>
        </w:rPr>
        <w:t>(10)：106–117．</w:t>
      </w:r>
    </w:p>
    <w:p>
      <w:pPr>
        <w:snapToGrid w:val="0"/>
        <w:spacing w:line="360" w:lineRule="auto"/>
        <w:rPr>
          <w:sz w:val="24"/>
          <w:szCs w:val="24"/>
        </w:rPr>
      </w:pPr>
      <w:r>
        <w:rPr>
          <w:sz w:val="24"/>
          <w:szCs w:val="24"/>
        </w:rPr>
        <w:t>[</w:t>
      </w:r>
      <w:r>
        <w:rPr>
          <w:rFonts w:hint="eastAsia"/>
          <w:sz w:val="24"/>
          <w:szCs w:val="24"/>
        </w:rPr>
        <w:t>3</w:t>
      </w:r>
      <w:r>
        <w:rPr>
          <w:sz w:val="24"/>
          <w:szCs w:val="24"/>
        </w:rPr>
        <w:t>]Simpson，A．An Analysis of Rainfall Weather Index Insurance: The Case of Forage Crops in Canada［D］．The University of Manitoba．2016，3．</w:t>
      </w:r>
    </w:p>
    <w:p>
      <w:pPr>
        <w:snapToGrid w:val="0"/>
        <w:spacing w:line="360" w:lineRule="auto"/>
        <w:rPr>
          <w:sz w:val="24"/>
          <w:szCs w:val="24"/>
        </w:rPr>
      </w:pPr>
      <w:r>
        <w:rPr>
          <w:bCs/>
          <w:sz w:val="24"/>
          <w:szCs w:val="24"/>
        </w:rPr>
        <w:t>[5]</w:t>
      </w:r>
      <w:r>
        <w:rPr>
          <w:sz w:val="24"/>
          <w:szCs w:val="24"/>
        </w:rPr>
        <w:t>李继学．气象指数保险进入“试验田”[N]．中国财经报，2008.4.29．</w:t>
      </w:r>
    </w:p>
    <w:p>
      <w:pPr>
        <w:pStyle w:val="40"/>
        <w:shd w:val="clear" w:color="auto" w:fill="FFFFFF"/>
        <w:snapToGrid w:val="0"/>
        <w:spacing w:before="0" w:beforeAutospacing="0" w:after="0" w:afterAutospacing="0" w:line="360" w:lineRule="auto"/>
        <w:rPr>
          <w:rFonts w:ascii="Times New Roman" w:hAnsi="Times New Roman" w:cs="Times New Roman"/>
          <w:bCs/>
        </w:rPr>
      </w:pPr>
      <w:r>
        <w:rPr>
          <w:rFonts w:ascii="Times New Roman" w:hAnsi="Times New Roman" w:cs="Times New Roman"/>
          <w:bCs/>
        </w:rPr>
        <w:t>[6]孙祁祥</w:t>
      </w:r>
      <w:r>
        <w:rPr>
          <w:rFonts w:ascii="Times New Roman" w:hAnsi="Times New Roman" w:cs="Times New Roman"/>
        </w:rPr>
        <w:t>．</w:t>
      </w:r>
      <w:r>
        <w:rPr>
          <w:rFonts w:ascii="Times New Roman" w:hAnsi="Times New Roman" w:cs="Times New Roman"/>
          <w:bCs/>
        </w:rPr>
        <w:t>保险学（第六版）</w:t>
      </w:r>
      <w:r>
        <w:rPr>
          <w:rFonts w:ascii="Times New Roman" w:hAnsi="Times New Roman" w:cs="Times New Roman"/>
        </w:rPr>
        <w:t>［M］．北京：北京大学出版社，2017.5</w:t>
      </w:r>
    </w:p>
    <w:p>
      <w:pPr>
        <w:pStyle w:val="40"/>
        <w:shd w:val="clear" w:color="auto" w:fill="FFFFFF"/>
        <w:snapToGrid w:val="0"/>
        <w:spacing w:before="0" w:beforeAutospacing="0" w:after="0" w:afterAutospacing="0" w:line="360" w:lineRule="auto"/>
        <w:rPr>
          <w:rFonts w:ascii="Times New Roman" w:hAnsi="Times New Roman" w:cs="Times New Roman"/>
          <w:bCs/>
          <w:kern w:val="2"/>
        </w:rPr>
      </w:pPr>
      <w:r>
        <w:rPr>
          <w:rFonts w:ascii="Times New Roman" w:hAnsi="Times New Roman" w:cs="Times New Roman"/>
          <w:bCs/>
        </w:rPr>
        <w:t>[7]</w:t>
      </w:r>
      <w:r>
        <w:rPr>
          <w:rFonts w:ascii="Times New Roman" w:hAnsi="Times New Roman" w:cs="Times New Roman"/>
          <w:bCs/>
          <w:kern w:val="2"/>
        </w:rPr>
        <w:t>庹国柱a．在深化改革中稳步推进农业保险</w:t>
      </w:r>
      <w:r>
        <w:rPr>
          <w:rFonts w:ascii="Times New Roman" w:hAnsi="Times New Roman" w:cs="Times New Roman"/>
        </w:rPr>
        <w:t>［</w:t>
      </w:r>
      <w:r>
        <w:rPr>
          <w:rFonts w:ascii="Times New Roman" w:hAnsi="Times New Roman" w:cs="Times New Roman"/>
          <w:color w:val="000000"/>
          <w:spacing w:val="-4"/>
        </w:rPr>
        <w:t>J/OL</w:t>
      </w:r>
      <w:r>
        <w:rPr>
          <w:rFonts w:ascii="Times New Roman" w:hAnsi="Times New Roman" w:cs="Times New Roman"/>
        </w:rPr>
        <w:t>］．</w:t>
      </w:r>
      <w:r>
        <w:fldChar w:fldCharType="begin"/>
      </w:r>
      <w:r>
        <w:instrText xml:space="preserve"> HYPERLINK "http://pl.sinoins.com/" </w:instrText>
      </w:r>
      <w:r>
        <w:fldChar w:fldCharType="separate"/>
      </w:r>
      <w:r>
        <w:rPr>
          <w:rStyle w:val="31"/>
          <w:rFonts w:ascii="Times New Roman" w:hAnsi="Times New Roman" w:cs="Times New Roman"/>
          <w:kern w:val="2"/>
        </w:rPr>
        <w:t>http://pl.sinoins.com/</w:t>
      </w:r>
      <w:r>
        <w:rPr>
          <w:rStyle w:val="31"/>
          <w:rFonts w:ascii="Times New Roman" w:hAnsi="Times New Roman" w:cs="Times New Roman"/>
          <w:kern w:val="2"/>
        </w:rPr>
        <w:fldChar w:fldCharType="end"/>
      </w:r>
      <w:r>
        <w:rPr>
          <w:rFonts w:ascii="Times New Roman" w:hAnsi="Times New Roman" w:cs="Times New Roman"/>
          <w:bCs/>
          <w:kern w:val="2"/>
        </w:rPr>
        <w:t>，中国保险网，2014.3.4．</w:t>
      </w:r>
    </w:p>
    <w:p>
      <w:pPr>
        <w:widowControl/>
        <w:snapToGrid w:val="0"/>
        <w:spacing w:line="360" w:lineRule="auto"/>
        <w:rPr>
          <w:bCs/>
          <w:sz w:val="24"/>
          <w:szCs w:val="24"/>
        </w:rPr>
      </w:pPr>
      <w:r>
        <w:rPr>
          <w:bCs/>
          <w:sz w:val="24"/>
          <w:szCs w:val="24"/>
        </w:rPr>
        <w:t>[8]庹国柱b，朱俊生．论收入保险对完善农产品价格形成机制改革的重要性[J]．保险研究，2016，（6）：3-11．</w:t>
      </w:r>
    </w:p>
    <w:p>
      <w:pPr>
        <w:snapToGrid w:val="0"/>
        <w:spacing w:line="360" w:lineRule="auto"/>
        <w:rPr>
          <w:sz w:val="24"/>
          <w:szCs w:val="24"/>
        </w:rPr>
      </w:pPr>
      <w:r>
        <w:rPr>
          <w:bCs/>
          <w:sz w:val="24"/>
          <w:szCs w:val="24"/>
        </w:rPr>
        <w:t>[9]</w:t>
      </w:r>
      <w:r>
        <w:rPr>
          <w:sz w:val="24"/>
          <w:szCs w:val="24"/>
        </w:rPr>
        <w:t>王倩，曹杰，周兆基，张眉． 基于面板随机效应模型确定鲁北三地棉花干旱指数保险理赔金额［J］．中国农业气象，2014，35（3）：293-298．</w:t>
      </w:r>
    </w:p>
    <w:p>
      <w:pPr>
        <w:adjustRightInd w:val="0"/>
        <w:snapToGrid w:val="0"/>
        <w:spacing w:line="360" w:lineRule="auto"/>
        <w:rPr>
          <w:rFonts w:ascii="微软雅黑" w:hAnsi="微软雅黑" w:eastAsia="微软雅黑"/>
          <w:color w:val="FF0000"/>
          <w:sz w:val="22"/>
          <w:szCs w:val="22"/>
        </w:rPr>
      </w:pPr>
      <w:r>
        <w:rPr>
          <w:bCs/>
          <w:sz w:val="24"/>
          <w:szCs w:val="24"/>
        </w:rPr>
        <w:t>[10]</w:t>
      </w:r>
      <w:r>
        <w:rPr>
          <w:sz w:val="24"/>
          <w:szCs w:val="24"/>
        </w:rPr>
        <w:t>曾小艳．农业天气风险管理的金融创新路径研究［D］．华中农业大学博士学位论文，2013，6</w:t>
      </w:r>
      <w:r>
        <w:rPr>
          <w:bCs/>
          <w:sz w:val="24"/>
          <w:szCs w:val="24"/>
        </w:rPr>
        <w:t>．</w:t>
      </w:r>
      <w:r>
        <w:rPr>
          <w:rFonts w:eastAsia="微软雅黑"/>
          <w:color w:val="333333"/>
          <w:sz w:val="22"/>
          <w:szCs w:val="22"/>
        </w:rPr>
        <w:br w:type="textWrapping"/>
      </w:r>
      <w:r>
        <w:rPr>
          <w:rFonts w:hint="eastAsia" w:ascii="微软雅黑" w:hAnsi="微软雅黑" w:eastAsia="微软雅黑"/>
          <w:color w:val="FF0000"/>
          <w:sz w:val="22"/>
          <w:szCs w:val="22"/>
        </w:rPr>
        <w:t>参考文献基本格式：</w:t>
      </w:r>
    </w:p>
    <w:p>
      <w:pPr>
        <w:adjustRightInd w:val="0"/>
        <w:snapToGrid w:val="0"/>
        <w:spacing w:line="360" w:lineRule="auto"/>
        <w:rPr>
          <w:rFonts w:eastAsia="微软雅黑"/>
          <w:color w:val="FF0000"/>
          <w:sz w:val="24"/>
          <w:szCs w:val="24"/>
        </w:rPr>
      </w:pPr>
      <w:r>
        <w:rPr>
          <w:rFonts w:eastAsia="微软雅黑"/>
          <w:color w:val="FF0000"/>
          <w:sz w:val="24"/>
          <w:szCs w:val="24"/>
        </w:rPr>
        <w:t>[序号]作者姓名.文章名[文献类别].期刊名称，发表年份，卷号（期号）：页码.（文章类）　</w:t>
      </w:r>
    </w:p>
    <w:p>
      <w:pPr>
        <w:adjustRightInd w:val="0"/>
        <w:snapToGrid w:val="0"/>
        <w:spacing w:line="360" w:lineRule="auto"/>
        <w:rPr>
          <w:rStyle w:val="33"/>
          <w:bCs/>
          <w:sz w:val="24"/>
          <w:szCs w:val="24"/>
        </w:rPr>
      </w:pPr>
      <w:r>
        <w:rPr>
          <w:rFonts w:eastAsia="微软雅黑"/>
          <w:color w:val="FF0000"/>
          <w:sz w:val="24"/>
          <w:szCs w:val="24"/>
        </w:rPr>
        <w:t>[序号]作者姓名.书名或博硕论文名等）[文献类别].出版社地址：出版社，出版年月.（图书类）</w:t>
      </w:r>
    </w:p>
    <w:p>
      <w:pPr>
        <w:adjustRightInd w:val="0"/>
        <w:snapToGrid w:val="0"/>
        <w:spacing w:line="360" w:lineRule="auto"/>
        <w:rPr>
          <w:rFonts w:eastAsia="宋体"/>
          <w:bCs w:val="0"/>
          <w:kern w:val="2"/>
          <w:sz w:val="24"/>
          <w:szCs w:val="24"/>
        </w:rPr>
      </w:pPr>
      <w:r>
        <w:rPr>
          <w:rFonts w:eastAsia="微软雅黑"/>
          <w:color w:val="FF0000"/>
          <w:sz w:val="24"/>
          <w:szCs w:val="24"/>
        </w:rPr>
        <w:t>注意：参考文献（即引文出处）的类型以单字母方式标识，具体如下：</w:t>
      </w:r>
      <w:r>
        <w:rPr>
          <w:rFonts w:eastAsia="微软雅黑"/>
          <w:color w:val="FF0000"/>
          <w:sz w:val="24"/>
          <w:szCs w:val="24"/>
        </w:rPr>
        <w:br w:type="textWrapping"/>
      </w:r>
      <w:r>
        <w:rPr>
          <w:color w:val="FF0000"/>
          <w:sz w:val="24"/>
          <w:szCs w:val="24"/>
        </w:rPr>
        <w:t>专著——M</w:t>
      </w:r>
      <w:r>
        <w:rPr>
          <w:color w:val="FF0000"/>
          <w:spacing w:val="-17"/>
          <w:sz w:val="24"/>
          <w:szCs w:val="24"/>
        </w:rPr>
        <w:t>，论文集</w:t>
      </w:r>
      <w:r>
        <w:rPr>
          <w:color w:val="FF0000"/>
          <w:sz w:val="24"/>
          <w:szCs w:val="24"/>
        </w:rPr>
        <w:t>——C</w:t>
      </w:r>
      <w:r>
        <w:rPr>
          <w:color w:val="FF0000"/>
          <w:spacing w:val="-13"/>
          <w:sz w:val="24"/>
          <w:szCs w:val="24"/>
        </w:rPr>
        <w:t>，报纸文章</w:t>
      </w:r>
      <w:r>
        <w:rPr>
          <w:color w:val="FF0000"/>
          <w:sz w:val="24"/>
          <w:szCs w:val="24"/>
        </w:rPr>
        <w:t>——N</w:t>
      </w:r>
      <w:r>
        <w:rPr>
          <w:color w:val="FF0000"/>
          <w:spacing w:val="-6"/>
          <w:sz w:val="24"/>
          <w:szCs w:val="24"/>
        </w:rPr>
        <w:t>，期刊文章</w:t>
      </w:r>
      <w:r>
        <w:rPr>
          <w:color w:val="FF0000"/>
          <w:spacing w:val="-24"/>
          <w:sz w:val="24"/>
          <w:szCs w:val="24"/>
        </w:rPr>
        <w:t>——</w:t>
      </w:r>
      <w:r>
        <w:rPr>
          <w:color w:val="FF0000"/>
          <w:sz w:val="24"/>
          <w:szCs w:val="24"/>
        </w:rPr>
        <w:t>J，</w:t>
      </w:r>
      <w:r>
        <w:rPr>
          <w:color w:val="FF0000"/>
          <w:spacing w:val="15"/>
          <w:sz w:val="24"/>
          <w:szCs w:val="24"/>
        </w:rPr>
        <w:t>学位论文</w:t>
      </w:r>
      <w:r>
        <w:rPr>
          <w:color w:val="FF0000"/>
          <w:sz w:val="24"/>
          <w:szCs w:val="24"/>
        </w:rPr>
        <w:t>——D</w:t>
      </w:r>
      <w:r>
        <w:rPr>
          <w:color w:val="FF0000"/>
          <w:spacing w:val="11"/>
          <w:sz w:val="24"/>
          <w:szCs w:val="24"/>
        </w:rPr>
        <w:t>，报告</w:t>
      </w:r>
      <w:r>
        <w:rPr>
          <w:color w:val="FF0000"/>
          <w:spacing w:val="-25"/>
          <w:sz w:val="24"/>
          <w:szCs w:val="24"/>
        </w:rPr>
        <w:t>——</w:t>
      </w:r>
      <w:r>
        <w:rPr>
          <w:color w:val="FF0000"/>
          <w:sz w:val="24"/>
          <w:szCs w:val="24"/>
        </w:rPr>
        <w:t>R</w:t>
      </w:r>
      <w:r>
        <w:rPr>
          <w:color w:val="FF0000"/>
          <w:spacing w:val="11"/>
          <w:sz w:val="24"/>
          <w:szCs w:val="24"/>
        </w:rPr>
        <w:t>，标准</w:t>
      </w:r>
      <w:r>
        <w:rPr>
          <w:color w:val="FF0000"/>
          <w:spacing w:val="-25"/>
          <w:sz w:val="24"/>
          <w:szCs w:val="24"/>
        </w:rPr>
        <w:t>——</w:t>
      </w:r>
      <w:r>
        <w:rPr>
          <w:color w:val="FF0000"/>
          <w:sz w:val="24"/>
          <w:szCs w:val="24"/>
        </w:rPr>
        <w:t>S</w:t>
      </w:r>
      <w:r>
        <w:rPr>
          <w:color w:val="FF0000"/>
          <w:spacing w:val="11"/>
          <w:sz w:val="24"/>
          <w:szCs w:val="24"/>
        </w:rPr>
        <w:t>，专利</w:t>
      </w:r>
      <w:r>
        <w:rPr>
          <w:color w:val="FF0000"/>
          <w:spacing w:val="-24"/>
          <w:sz w:val="24"/>
          <w:szCs w:val="24"/>
        </w:rPr>
        <w:t>——</w:t>
      </w:r>
      <w:r>
        <w:rPr>
          <w:color w:val="FF0000"/>
          <w:sz w:val="24"/>
          <w:szCs w:val="24"/>
        </w:rPr>
        <w:t>P</w:t>
      </w:r>
      <w:r>
        <w:rPr>
          <w:color w:val="FF0000"/>
          <w:spacing w:val="14"/>
          <w:sz w:val="24"/>
          <w:szCs w:val="24"/>
        </w:rPr>
        <w:t>，联机网上数</w:t>
      </w:r>
      <w:r>
        <w:rPr>
          <w:color w:val="FF0000"/>
          <w:spacing w:val="25"/>
          <w:sz w:val="24"/>
          <w:szCs w:val="24"/>
        </w:rPr>
        <w:t>据库</w:t>
      </w:r>
      <w:r>
        <w:rPr>
          <w:color w:val="FF0000"/>
          <w:sz w:val="24"/>
          <w:szCs w:val="24"/>
        </w:rPr>
        <w:t>——</w:t>
      </w:r>
      <w:r>
        <w:rPr>
          <w:color w:val="FF0000"/>
          <w:spacing w:val="-4"/>
          <w:sz w:val="24"/>
          <w:szCs w:val="24"/>
        </w:rPr>
        <w:t>[DB/OL]</w:t>
      </w:r>
      <w:r>
        <w:rPr>
          <w:color w:val="FF0000"/>
          <w:spacing w:val="24"/>
          <w:sz w:val="24"/>
          <w:szCs w:val="24"/>
        </w:rPr>
        <w:t>，光盘图书</w:t>
      </w:r>
      <w:r>
        <w:rPr>
          <w:color w:val="FF0000"/>
          <w:sz w:val="24"/>
          <w:szCs w:val="24"/>
        </w:rPr>
        <w:t>——</w:t>
      </w:r>
      <w:r>
        <w:rPr>
          <w:color w:val="FF0000"/>
          <w:spacing w:val="-10"/>
          <w:sz w:val="24"/>
          <w:szCs w:val="24"/>
        </w:rPr>
        <w:t>[M/CD]</w:t>
      </w:r>
      <w:r>
        <w:rPr>
          <w:color w:val="FF0000"/>
          <w:spacing w:val="25"/>
          <w:sz w:val="24"/>
          <w:szCs w:val="24"/>
        </w:rPr>
        <w:t>，磁盘软件</w:t>
      </w:r>
      <w:r>
        <w:rPr>
          <w:color w:val="FF0000"/>
          <w:sz w:val="24"/>
          <w:szCs w:val="24"/>
        </w:rPr>
        <w:t>——</w:t>
      </w:r>
      <w:r>
        <w:rPr>
          <w:color w:val="FF0000"/>
          <w:spacing w:val="-2"/>
          <w:sz w:val="24"/>
          <w:szCs w:val="24"/>
        </w:rPr>
        <w:t>[CP/DK]</w:t>
      </w:r>
      <w:r>
        <w:rPr>
          <w:color w:val="FF0000"/>
          <w:sz w:val="24"/>
          <w:szCs w:val="24"/>
        </w:rPr>
        <w:t>，网上期刊——</w:t>
      </w:r>
      <w:r>
        <w:rPr>
          <w:color w:val="FF0000"/>
          <w:spacing w:val="-6"/>
          <w:sz w:val="24"/>
          <w:szCs w:val="24"/>
        </w:rPr>
        <w:t>[J/OL]</w:t>
      </w:r>
      <w:r>
        <w:rPr>
          <w:color w:val="FF0000"/>
          <w:spacing w:val="-4"/>
          <w:sz w:val="24"/>
          <w:szCs w:val="24"/>
        </w:rPr>
        <w:t>，网上电子公告</w:t>
      </w:r>
      <w:r>
        <w:rPr>
          <w:color w:val="FF0000"/>
          <w:spacing w:val="-24"/>
          <w:sz w:val="24"/>
          <w:szCs w:val="24"/>
        </w:rPr>
        <w:t>——</w:t>
      </w:r>
      <w:r>
        <w:rPr>
          <w:color w:val="FF0000"/>
          <w:spacing w:val="-4"/>
          <w:sz w:val="24"/>
          <w:szCs w:val="24"/>
        </w:rPr>
        <w:t>[EB/OL]。</w:t>
      </w:r>
    </w:p>
    <w:p>
      <w:pPr>
        <w:wordWrap w:val="0"/>
        <w:overflowPunct w:val="0"/>
        <w:topLinePunct/>
        <w:spacing w:line="360" w:lineRule="auto"/>
        <w:rPr>
          <w:rFonts w:hint="eastAsia" w:ascii="黑体" w:hAnsi="黑体" w:eastAsia="黑体"/>
          <w:b/>
          <w:sz w:val="32"/>
          <w:szCs w:val="32"/>
        </w:rPr>
      </w:pPr>
    </w:p>
    <w:p>
      <w:pPr>
        <w:wordWrap w:val="0"/>
        <w:overflowPunct w:val="0"/>
        <w:topLinePunct/>
        <w:spacing w:line="360" w:lineRule="auto"/>
        <w:rPr>
          <w:rFonts w:ascii="黑体" w:hAnsi="黑体" w:eastAsia="黑体"/>
          <w:b/>
          <w:sz w:val="32"/>
          <w:szCs w:val="32"/>
        </w:rPr>
      </w:pPr>
      <w:r>
        <w:rPr>
          <w:rFonts w:hint="eastAsia" w:ascii="黑体" w:hAnsi="黑体" w:eastAsia="黑体"/>
          <w:b/>
          <w:sz w:val="32"/>
          <w:szCs w:val="32"/>
        </w:rPr>
        <w:t>附录：</w:t>
      </w:r>
    </w:p>
    <w:p>
      <w:pPr>
        <w:overflowPunct w:val="0"/>
        <w:topLinePunct/>
        <w:spacing w:line="360" w:lineRule="auto"/>
        <w:ind w:firstLine="420" w:firstLineChars="200"/>
        <w:jc w:val="center"/>
        <w:rPr>
          <w:rFonts w:ascii="宋体" w:hAnsi="宋体"/>
        </w:rPr>
      </w:pPr>
      <w:r>
        <w:rPr>
          <w:rFonts w:hint="eastAsia" w:ascii="宋体" w:hAnsi="宋体"/>
        </w:rPr>
        <w:t>调查问卷</w:t>
      </w:r>
    </w:p>
    <w:p>
      <w:pPr>
        <w:spacing w:line="360" w:lineRule="auto"/>
        <w:ind w:firstLine="420" w:firstLineChars="200"/>
        <w:rPr>
          <w:rFonts w:ascii="宋体" w:hAnsi="宋体"/>
        </w:rPr>
      </w:pPr>
      <w:r>
        <w:rPr>
          <w:rFonts w:hint="eastAsia" w:ascii="宋体" w:hAnsi="宋体"/>
        </w:rPr>
        <w:t>尊敬的先生/女士：</w:t>
      </w:r>
    </w:p>
    <w:p>
      <w:pPr>
        <w:spacing w:line="360" w:lineRule="auto"/>
        <w:ind w:firstLine="570"/>
        <w:rPr>
          <w:rFonts w:ascii="宋体" w:hAnsi="宋体"/>
        </w:rPr>
      </w:pPr>
      <w:r>
        <w:rPr>
          <w:rFonts w:hint="eastAsia" w:ascii="宋体" w:hAnsi="宋体"/>
        </w:rPr>
        <w:t>您好！</w:t>
      </w:r>
    </w:p>
    <w:p>
      <w:pPr>
        <w:spacing w:line="360" w:lineRule="auto"/>
        <w:ind w:firstLine="570"/>
        <w:rPr>
          <w:rFonts w:ascii="宋体" w:hAnsi="宋体"/>
        </w:rPr>
      </w:pPr>
      <w:r>
        <w:rPr>
          <w:rFonts w:hint="eastAsia" w:ascii="宋体" w:hAnsi="宋体"/>
        </w:rPr>
        <w:t>我们是山东农业大学经济管理学院调查团队成员，希望通过您了解您所在地农业相关情况，您的意见对我们的研究将会有很大的帮助，问卷为匿名填写，答案的选项没有对错之分，希望您如实回答，真诚谢谢您的合作。</w:t>
      </w:r>
    </w:p>
    <w:p>
      <w:pPr>
        <w:overflowPunct w:val="0"/>
        <w:topLinePunct/>
        <w:spacing w:line="360" w:lineRule="auto"/>
        <w:ind w:firstLine="480" w:firstLineChars="200"/>
        <w:rPr>
          <w:rFonts w:ascii="宋体" w:hAnsi="宋体"/>
          <w:sz w:val="24"/>
        </w:rPr>
      </w:pPr>
      <w:r>
        <w:rPr>
          <w:rFonts w:hint="eastAsia" w:ascii="宋体" w:hAnsi="宋体"/>
          <w:sz w:val="24"/>
        </w:rPr>
        <w:t>。。。。。。。。</w:t>
      </w:r>
    </w:p>
    <w:p>
      <w:pPr>
        <w:rPr>
          <w:rFonts w:hint="eastAsia" w:ascii="黑体" w:hAnsi="黑体" w:cs="黑体"/>
          <w:bCs/>
          <w:sz w:val="32"/>
          <w:szCs w:val="32"/>
          <w:lang w:val="en-US" w:eastAsia="zh-CN"/>
        </w:rPr>
      </w:pPr>
      <w:r>
        <w:rPr>
          <w:rFonts w:hint="eastAsia" w:ascii="黑体" w:hAnsi="黑体" w:cs="黑体"/>
          <w:bCs/>
          <w:sz w:val="32"/>
          <w:szCs w:val="32"/>
          <w:lang w:val="en-US" w:eastAsia="zh-CN"/>
        </w:rPr>
        <w:br w:type="page"/>
      </w:r>
    </w:p>
    <w:p>
      <w:pPr>
        <w:pStyle w:val="2"/>
        <w:spacing w:before="318" w:after="318"/>
        <w:jc w:val="center"/>
        <w:rPr>
          <w:rFonts w:ascii="黑体" w:hAnsi="黑体" w:cs="黑体"/>
          <w:sz w:val="32"/>
          <w:szCs w:val="32"/>
        </w:rPr>
      </w:pPr>
      <w:r>
        <w:rPr>
          <w:rFonts w:hint="eastAsia" w:ascii="黑体" w:hAnsi="黑体" w:cs="黑体"/>
          <w:bCs/>
          <w:sz w:val="32"/>
          <w:szCs w:val="32"/>
        </w:rPr>
        <w:t>致</w:t>
      </w:r>
      <w:r>
        <w:rPr>
          <w:rFonts w:hint="eastAsia" w:ascii="黑体" w:hAnsi="黑体" w:cs="黑体"/>
          <w:bCs/>
          <w:sz w:val="32"/>
          <w:szCs w:val="32"/>
          <w:lang w:val="en-US" w:eastAsia="zh-CN"/>
        </w:rPr>
        <w:t xml:space="preserve">  </w:t>
      </w:r>
      <w:r>
        <w:rPr>
          <w:rFonts w:hint="eastAsia" w:ascii="黑体" w:hAnsi="黑体" w:cs="黑体"/>
          <w:bCs/>
          <w:sz w:val="32"/>
          <w:szCs w:val="32"/>
        </w:rPr>
        <w:t>谢</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 xml:space="preserve">                                                                 朱牧</w:t>
      </w:r>
    </w:p>
    <w:p>
      <w:pPr>
        <w:jc w:val="right"/>
        <w:rPr>
          <w:rFonts w:hint="eastAsia" w:ascii="宋体" w:hAnsi="宋体" w:eastAsia="宋体" w:cs="宋体"/>
          <w:sz w:val="24"/>
        </w:rPr>
      </w:pPr>
      <w:bookmarkStart w:id="104" w:name="_Toc481096431"/>
      <w:bookmarkStart w:id="105" w:name="_Toc5961"/>
      <w:r>
        <w:rPr>
          <w:rFonts w:hint="default" w:ascii="Times New Roman" w:hAnsi="Times New Roman" w:eastAsia="宋体" w:cs="Times New Roman"/>
          <w:sz w:val="24"/>
        </w:rPr>
        <w:t>2017</w:t>
      </w:r>
      <w:r>
        <w:rPr>
          <w:rFonts w:hint="eastAsia" w:ascii="宋体" w:hAnsi="宋体" w:eastAsia="宋体" w:cs="宋体"/>
          <w:sz w:val="24"/>
        </w:rPr>
        <w:t>年</w:t>
      </w:r>
      <w:r>
        <w:rPr>
          <w:rFonts w:hint="default" w:ascii="Times New Roman" w:hAnsi="Times New Roman" w:eastAsia="宋体" w:cs="Times New Roman"/>
          <w:sz w:val="24"/>
        </w:rPr>
        <w:t>5</w:t>
      </w:r>
      <w:r>
        <w:rPr>
          <w:rFonts w:hint="eastAsia" w:ascii="宋体" w:hAnsi="宋体" w:eastAsia="宋体" w:cs="宋体"/>
          <w:sz w:val="24"/>
        </w:rPr>
        <w:t>月</w:t>
      </w:r>
      <w:bookmarkEnd w:id="104"/>
      <w:bookmarkEnd w:id="105"/>
      <w:r>
        <w:rPr>
          <w:rFonts w:hint="eastAsia" w:ascii="宋体" w:hAnsi="宋体" w:eastAsia="宋体" w:cs="宋体"/>
          <w:sz w:val="24"/>
        </w:rPr>
        <w:t>于岱下</w:t>
      </w: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ascii="宋体" w:hAnsi="宋体"/>
          <w:b/>
          <w:sz w:val="24"/>
        </w:rPr>
      </w:pPr>
      <w:bookmarkStart w:id="108" w:name="_GoBack"/>
      <w:bookmarkEnd w:id="108"/>
      <w:r>
        <w:rPr>
          <w:rFonts w:hint="eastAsia" w:ascii="宋体" w:hAnsi="宋体"/>
          <w:b/>
          <w:sz w:val="24"/>
        </w:rPr>
        <w:t>几点重要说明：</w:t>
      </w:r>
    </w:p>
    <w:p>
      <w:pPr>
        <w:numPr>
          <w:ilvl w:val="0"/>
          <w:numId w:val="1"/>
        </w:numPr>
        <w:overflowPunct w:val="0"/>
        <w:topLinePunct/>
        <w:snapToGrid w:val="0"/>
        <w:spacing w:line="360" w:lineRule="auto"/>
        <w:ind w:firstLine="480" w:firstLineChars="200"/>
        <w:rPr>
          <w:rFonts w:ascii="宋体" w:hAnsi="宋体"/>
          <w:sz w:val="24"/>
        </w:rPr>
      </w:pPr>
      <w:r>
        <w:rPr>
          <w:rFonts w:hint="eastAsia" w:ascii="宋体" w:hAnsi="宋体"/>
          <w:sz w:val="24"/>
        </w:rPr>
        <w:t>正文中一级标题使用3号黑体字，二级标题使用4号黑体字，三级及三级以下标题使用小四号黑体字。</w:t>
      </w:r>
    </w:p>
    <w:p>
      <w:pPr>
        <w:numPr>
          <w:ilvl w:val="0"/>
          <w:numId w:val="1"/>
        </w:numPr>
        <w:overflowPunct w:val="0"/>
        <w:topLinePunct/>
        <w:snapToGrid w:val="0"/>
        <w:spacing w:line="360" w:lineRule="auto"/>
        <w:ind w:firstLine="480" w:firstLineChars="200"/>
        <w:rPr>
          <w:rFonts w:ascii="宋体" w:hAnsi="宋体"/>
          <w:sz w:val="24"/>
        </w:rPr>
      </w:pPr>
      <w:r>
        <w:rPr>
          <w:rFonts w:hint="eastAsia" w:ascii="宋体" w:hAnsi="宋体"/>
          <w:sz w:val="24"/>
        </w:rPr>
        <w:t>论文正文使用小四号宋体（中文）</w:t>
      </w:r>
    </w:p>
    <w:p>
      <w:pPr>
        <w:overflowPunct w:val="0"/>
        <w:topLinePunct/>
        <w:snapToGrid w:val="0"/>
        <w:spacing w:line="360" w:lineRule="auto"/>
        <w:ind w:firstLine="480" w:firstLineChars="200"/>
        <w:rPr>
          <w:rFonts w:ascii="宋体" w:hAnsi="宋体"/>
          <w:sz w:val="24"/>
        </w:rPr>
      </w:pPr>
      <w:r>
        <w:rPr>
          <w:rFonts w:hint="eastAsia" w:ascii="宋体" w:hAnsi="宋体"/>
          <w:sz w:val="24"/>
        </w:rPr>
        <w:t>3．页边距，上下左右各2.5cm。</w:t>
      </w:r>
    </w:p>
    <w:p>
      <w:pPr>
        <w:overflowPunct w:val="0"/>
        <w:topLinePunct/>
        <w:snapToGrid w:val="0"/>
        <w:spacing w:line="360" w:lineRule="auto"/>
        <w:ind w:firstLine="480" w:firstLineChars="200"/>
        <w:rPr>
          <w:rFonts w:ascii="宋体" w:hAnsi="宋体"/>
          <w:sz w:val="24"/>
        </w:rPr>
      </w:pPr>
      <w:r>
        <w:rPr>
          <w:rFonts w:hint="eastAsia" w:ascii="宋体" w:hAnsi="宋体"/>
          <w:sz w:val="24"/>
        </w:rPr>
        <w:t>3．论文的页面设置中的网格选择：无网格。</w:t>
      </w:r>
    </w:p>
    <w:p>
      <w:pPr>
        <w:overflowPunct w:val="0"/>
        <w:topLinePunct/>
        <w:snapToGrid w:val="0"/>
        <w:spacing w:line="360" w:lineRule="auto"/>
        <w:ind w:firstLine="480" w:firstLineChars="200"/>
        <w:rPr>
          <w:rFonts w:ascii="宋体" w:hAnsi="宋体"/>
          <w:sz w:val="24"/>
        </w:rPr>
      </w:pPr>
      <w:r>
        <w:rPr>
          <w:rFonts w:hint="eastAsia" w:ascii="宋体" w:hAnsi="宋体"/>
          <w:sz w:val="24"/>
        </w:rPr>
        <w:t>4．摘要之前没页码，中英文摘要单独编页码（</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1 \* ROMAN</w:instrText>
      </w:r>
      <w:r>
        <w:rPr>
          <w:rFonts w:ascii="宋体" w:hAnsi="宋体"/>
          <w:sz w:val="24"/>
        </w:rPr>
        <w:instrText xml:space="preserve"> </w:instrText>
      </w:r>
      <w:r>
        <w:rPr>
          <w:rFonts w:ascii="宋体" w:hAnsi="宋体"/>
          <w:sz w:val="24"/>
        </w:rPr>
        <w:fldChar w:fldCharType="separate"/>
      </w:r>
      <w:r>
        <w:rPr>
          <w:rFonts w:ascii="宋体" w:hAnsi="宋体"/>
          <w:sz w:val="24"/>
        </w:rPr>
        <w:t>I</w:t>
      </w:r>
      <w:r>
        <w:rPr>
          <w:rFonts w:ascii="宋体" w:hAnsi="宋体"/>
          <w:sz w:val="24"/>
        </w:rPr>
        <w:fldChar w:fldCharType="end"/>
      </w:r>
      <w:r>
        <w:rPr>
          <w:rFonts w:hint="eastAsia" w:ascii="宋体" w:hAnsi="宋体"/>
          <w:sz w:val="24"/>
        </w:rPr>
        <w:t>、</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2 \* ROMAN</w:instrText>
      </w:r>
      <w:r>
        <w:rPr>
          <w:rFonts w:ascii="宋体" w:hAnsi="宋体"/>
          <w:sz w:val="24"/>
        </w:rPr>
        <w:instrText xml:space="preserve"> </w:instrText>
      </w:r>
      <w:r>
        <w:rPr>
          <w:rFonts w:ascii="宋体" w:hAnsi="宋体"/>
          <w:sz w:val="24"/>
        </w:rPr>
        <w:fldChar w:fldCharType="separate"/>
      </w:r>
      <w:r>
        <w:rPr>
          <w:rFonts w:ascii="宋体" w:hAnsi="宋体"/>
          <w:sz w:val="24"/>
        </w:rPr>
        <w:t>II</w:t>
      </w:r>
      <w:r>
        <w:rPr>
          <w:rFonts w:ascii="宋体" w:hAnsi="宋体"/>
          <w:sz w:val="24"/>
        </w:rPr>
        <w:fldChar w:fldCharType="end"/>
      </w:r>
      <w:r>
        <w:rPr>
          <w:rFonts w:hint="eastAsia" w:ascii="宋体" w:hAnsi="宋体"/>
          <w:sz w:val="24"/>
        </w:rPr>
        <w:t>、</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3 \* ROMAN</w:instrText>
      </w:r>
      <w:r>
        <w:rPr>
          <w:rFonts w:ascii="宋体" w:hAnsi="宋体"/>
          <w:sz w:val="24"/>
        </w:rPr>
        <w:instrText xml:space="preserve"> </w:instrText>
      </w:r>
      <w:r>
        <w:rPr>
          <w:rFonts w:ascii="宋体" w:hAnsi="宋体"/>
          <w:sz w:val="24"/>
        </w:rPr>
        <w:fldChar w:fldCharType="separate"/>
      </w:r>
      <w:r>
        <w:rPr>
          <w:rFonts w:ascii="宋体" w:hAnsi="宋体"/>
          <w:sz w:val="24"/>
        </w:rPr>
        <w:t>III</w:t>
      </w:r>
      <w:r>
        <w:rPr>
          <w:rFonts w:ascii="宋体" w:hAnsi="宋体"/>
          <w:sz w:val="24"/>
        </w:rPr>
        <w:fldChar w:fldCharType="end"/>
      </w:r>
      <w:r>
        <w:rPr>
          <w:rFonts w:hint="eastAsia" w:ascii="宋体" w:hAnsi="宋体"/>
          <w:sz w:val="24"/>
        </w:rPr>
        <w:t>...）。正文，即从前言（引言）开始重新编页码（123456....）。</w:t>
      </w:r>
    </w:p>
    <w:p>
      <w:pPr>
        <w:overflowPunct w:val="0"/>
        <w:topLinePunct/>
        <w:snapToGrid w:val="0"/>
        <w:spacing w:line="360" w:lineRule="auto"/>
        <w:ind w:firstLine="480" w:firstLineChars="200"/>
        <w:rPr>
          <w:rFonts w:ascii="宋体" w:hAnsi="宋体"/>
          <w:sz w:val="24"/>
        </w:rPr>
      </w:pPr>
      <w:r>
        <w:rPr>
          <w:rFonts w:hint="eastAsia" w:ascii="宋体" w:hAnsi="宋体"/>
          <w:sz w:val="24"/>
        </w:rPr>
        <w:t>5．参考文献用中括号编号，如：</w:t>
      </w:r>
      <w:r>
        <w:rPr>
          <w:sz w:val="24"/>
          <w:szCs w:val="24"/>
        </w:rPr>
        <w:t>[1]</w:t>
      </w:r>
      <w:r>
        <w:rPr>
          <w:rFonts w:hint="eastAsia" w:ascii="宋体" w:hAnsi="宋体"/>
          <w:sz w:val="24"/>
        </w:rPr>
        <w:t>，首行顶格写，每条文献要罗列所有作者。</w:t>
      </w:r>
    </w:p>
    <w:p>
      <w:pPr>
        <w:overflowPunct w:val="0"/>
        <w:topLinePunct/>
        <w:snapToGrid w:val="0"/>
        <w:spacing w:line="360" w:lineRule="auto"/>
        <w:ind w:firstLine="480" w:firstLineChars="200"/>
        <w:rPr>
          <w:rFonts w:ascii="宋体" w:hAnsi="宋体"/>
          <w:sz w:val="24"/>
        </w:rPr>
      </w:pPr>
      <w:r>
        <w:rPr>
          <w:rFonts w:hint="eastAsia" w:ascii="宋体" w:hAnsi="宋体"/>
          <w:sz w:val="24"/>
        </w:rPr>
        <w:t>6．论文封面按照该模板标准。</w:t>
      </w:r>
    </w:p>
    <w:p>
      <w:pPr>
        <w:snapToGrid w:val="0"/>
        <w:spacing w:line="360" w:lineRule="auto"/>
        <w:ind w:firstLine="480" w:firstLineChars="200"/>
      </w:pPr>
      <w:r>
        <w:rPr>
          <w:rFonts w:hint="eastAsia" w:ascii="宋体" w:hAnsi="宋体"/>
          <w:sz w:val="24"/>
        </w:rPr>
        <w:t>7．文中数字和英文字母均用</w:t>
      </w:r>
      <w:r>
        <w:rPr>
          <w:rFonts w:hint="eastAsia"/>
        </w:rPr>
        <w:t>Times New Romam字体。</w:t>
      </w:r>
    </w:p>
    <w:p>
      <w:pPr>
        <w:snapToGrid w:val="0"/>
        <w:spacing w:line="360" w:lineRule="auto"/>
        <w:ind w:firstLine="480" w:firstLineChars="200"/>
        <w:rPr>
          <w:sz w:val="24"/>
          <w:szCs w:val="24"/>
        </w:rPr>
      </w:pPr>
      <w:r>
        <w:rPr>
          <w:rFonts w:hint="eastAsia"/>
          <w:sz w:val="24"/>
          <w:szCs w:val="24"/>
        </w:rPr>
        <w:t>8. 正文图、表必须分别连续编号。如果一个图中包括几个小图，每个小图的编号方式为“（</w:t>
      </w:r>
      <w:r>
        <w:rPr>
          <w:sz w:val="24"/>
          <w:szCs w:val="24"/>
        </w:rPr>
        <w:t>a）、（b）、（c</w:t>
      </w:r>
      <w:r>
        <w:rPr>
          <w:rFonts w:hint="eastAsia"/>
          <w:sz w:val="24"/>
          <w:szCs w:val="24"/>
        </w:rPr>
        <w:t>）</w:t>
      </w:r>
      <w:r>
        <w:rPr>
          <w:rFonts w:hint="eastAsia" w:ascii="宋体" w:hAnsi="宋体"/>
          <w:sz w:val="24"/>
          <w:szCs w:val="24"/>
        </w:rPr>
        <w:t>……</w:t>
      </w:r>
      <w:r>
        <w:rPr>
          <w:rFonts w:hint="eastAsia"/>
          <w:sz w:val="24"/>
          <w:szCs w:val="24"/>
        </w:rPr>
        <w:t>”。如为坐标图，纵坐标轴名称、单位齐全。表中所列计算或估计结果的数字如果有小数，小数点后保留位数应保持一致。</w:t>
      </w:r>
    </w:p>
    <w:p>
      <w:pPr>
        <w:snapToGrid w:val="0"/>
        <w:spacing w:line="360" w:lineRule="auto"/>
        <w:ind w:firstLine="480" w:firstLineChars="200"/>
        <w:rPr>
          <w:sz w:val="24"/>
          <w:szCs w:val="24"/>
        </w:rPr>
      </w:pPr>
      <w:r>
        <w:rPr>
          <w:rFonts w:hint="eastAsia"/>
          <w:sz w:val="24"/>
          <w:szCs w:val="24"/>
        </w:rPr>
        <w:t>9.图、表、公式均为每章重新编码。</w:t>
      </w:r>
    </w:p>
    <w:p>
      <w:pPr>
        <w:widowControl/>
        <w:snapToGrid w:val="0"/>
        <w:spacing w:line="360" w:lineRule="auto"/>
        <w:rPr>
          <w:bCs/>
          <w:sz w:val="24"/>
          <w:szCs w:val="24"/>
        </w:rPr>
      </w:pPr>
    </w:p>
    <w:p>
      <w:pPr>
        <w:jc w:val="right"/>
        <w:rPr>
          <w:rFonts w:hint="eastAsia" w:ascii="宋体" w:hAnsi="宋体" w:eastAsia="宋体" w:cs="宋体"/>
          <w:sz w:val="24"/>
        </w:rPr>
      </w:pPr>
    </w:p>
    <w:p>
      <w:pPr>
        <w:spacing w:line="440" w:lineRule="atLeast"/>
        <w:outlineLvl w:val="0"/>
        <w:rPr>
          <w:rFonts w:ascii="黑体" w:hAnsi="黑体" w:eastAsia="黑体" w:cs="黑体"/>
          <w:sz w:val="36"/>
          <w:szCs w:val="36"/>
        </w:rPr>
      </w:pPr>
      <w:r>
        <w:rPr>
          <w:rFonts w:ascii="黑体" w:hAnsi="黑体" w:eastAsia="黑体" w:cs="黑体"/>
          <w:sz w:val="36"/>
          <w:szCs w:val="36"/>
        </w:rPr>
        <w:br w:type="page"/>
      </w:r>
    </w:p>
    <w:p>
      <w:pPr>
        <w:rPr>
          <w:rFonts w:hint="eastAsia"/>
          <w:lang w:val="en-US" w:eastAsia="zh-CN"/>
        </w:rPr>
      </w:pPr>
    </w:p>
    <w:bookmarkEnd w:id="100"/>
    <w:bookmarkEnd w:id="101"/>
    <w:bookmarkEnd w:id="102"/>
    <w:bookmarkEnd w:id="103"/>
    <w:p>
      <w:pPr>
        <w:spacing w:line="440" w:lineRule="atLeast"/>
        <w:jc w:val="center"/>
        <w:outlineLvl w:val="0"/>
        <w:rPr>
          <w:rFonts w:ascii="黑体" w:hAnsi="黑体" w:eastAsia="黑体" w:cs="黑体"/>
          <w:sz w:val="32"/>
          <w:szCs w:val="32"/>
        </w:rPr>
      </w:pPr>
      <w:bookmarkStart w:id="106" w:name="_Toc8251"/>
      <w:bookmarkStart w:id="107" w:name="_Toc26430"/>
      <w:r>
        <w:rPr>
          <w:rFonts w:hint="eastAsia" w:ascii="黑体" w:hAnsi="黑体" w:eastAsia="黑体" w:cs="黑体"/>
          <w:sz w:val="32"/>
          <w:szCs w:val="32"/>
        </w:rPr>
        <w:t>在读硕士期间取得的主要学术成就</w:t>
      </w:r>
      <w:bookmarkEnd w:id="106"/>
      <w:bookmarkEnd w:id="107"/>
    </w:p>
    <w:p>
      <w:pPr>
        <w:spacing w:line="360" w:lineRule="auto"/>
        <w:jc w:val="left"/>
        <w:rPr>
          <w:rFonts w:ascii="宋体" w:hAnsi="宋体" w:eastAsia="宋体" w:cs="宋体"/>
          <w:sz w:val="24"/>
        </w:rPr>
      </w:pPr>
      <w:r>
        <w:rPr>
          <w:rFonts w:hint="eastAsia" w:ascii="宋体" w:hAnsi="宋体" w:eastAsia="宋体" w:cs="宋体"/>
          <w:sz w:val="24"/>
        </w:rPr>
        <w:t>学术论文：</w:t>
      </w:r>
    </w:p>
    <w:p>
      <w:pPr>
        <w:spacing w:line="360" w:lineRule="auto"/>
        <w:jc w:val="left"/>
        <w:rPr>
          <w:rFonts w:ascii="宋体" w:hAnsi="宋体" w:eastAsia="宋体" w:cs="宋体"/>
          <w:sz w:val="24"/>
        </w:rPr>
      </w:pPr>
      <w:r>
        <w:rPr>
          <w:rFonts w:hint="eastAsia" w:ascii="宋体" w:hAnsi="宋体" w:eastAsia="宋体" w:cs="宋体"/>
          <w:sz w:val="24"/>
        </w:rPr>
        <w:t>（1）XXXX(参考文献格式即可)</w:t>
      </w:r>
    </w:p>
    <w:p>
      <w:pPr>
        <w:spacing w:line="360" w:lineRule="auto"/>
        <w:jc w:val="left"/>
        <w:rPr>
          <w:rFonts w:ascii="宋体" w:hAnsi="宋体" w:eastAsia="宋体" w:cs="宋体"/>
          <w:sz w:val="24"/>
        </w:rPr>
      </w:pPr>
      <w:r>
        <w:rPr>
          <w:rFonts w:hint="eastAsia" w:ascii="宋体" w:hAnsi="宋体" w:eastAsia="宋体" w:cs="宋体"/>
          <w:sz w:val="24"/>
        </w:rPr>
        <w:t>（2）XXXX</w:t>
      </w:r>
    </w:p>
    <w:p>
      <w:pPr>
        <w:snapToGrid w:val="0"/>
        <w:spacing w:line="360" w:lineRule="auto"/>
        <w:rPr>
          <w:rFonts w:ascii="Times New Roman" w:hAnsi="Times New Roman" w:eastAsia="宋体" w:cs="Times New Roman"/>
          <w:szCs w:val="21"/>
        </w:rPr>
      </w:pPr>
    </w:p>
    <w:p>
      <w:pPr>
        <w:snapToGrid w:val="0"/>
        <w:spacing w:line="360" w:lineRule="auto"/>
        <w:rPr>
          <w:rFonts w:ascii="Times New Roman" w:hAnsi="Times New Roman" w:eastAsia="宋体" w:cs="Times New Roman"/>
          <w:szCs w:val="21"/>
        </w:rPr>
      </w:pPr>
    </w:p>
    <w:sectPr>
      <w:footerReference r:id="rId16" w:type="default"/>
      <w:footerReference r:id="rId17" w:type="even"/>
      <w:footnotePr>
        <w:numFmt w:val="decimalEnclosedCircleChinese"/>
        <w:numRestart w:val="eachPage"/>
      </w:footnotePr>
      <w:pgSz w:w="11906" w:h="16838"/>
      <w:pgMar w:top="1417" w:right="1417" w:bottom="1417" w:left="1417" w:header="720" w:footer="720" w:gutter="0"/>
      <w:pgNumType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舒体">
    <w:altName w:val="宋体"/>
    <w:panose1 w:val="02010601030101010101"/>
    <w:charset w:val="86"/>
    <w:family w:val="auto"/>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汉仪报宋简">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536"/>
        <w:tab w:val="clear" w:pos="4153"/>
      </w:tabs>
      <w:ind w:firstLine="360"/>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536"/>
        <w:tab w:val="clear" w:pos="4153"/>
      </w:tabs>
      <w:ind w:firstLine="360"/>
    </w:pPr>
    <w:r>
      <mc:AlternateContent>
        <mc:Choice Requires="wps">
          <w:drawing>
            <wp:anchor distT="0" distB="0" distL="114300" distR="114300" simplePos="0" relativeHeight="251964416" behindDoc="0" locked="0" layoutInCell="1" allowOverlap="1">
              <wp:simplePos x="0" y="0"/>
              <wp:positionH relativeFrom="margin">
                <wp:align>center</wp:align>
              </wp:positionH>
              <wp:positionV relativeFrom="paragraph">
                <wp:posOffset>0</wp:posOffset>
              </wp:positionV>
              <wp:extent cx="29210" cy="139700"/>
              <wp:effectExtent l="0" t="0" r="0" b="0"/>
              <wp:wrapNone/>
              <wp:docPr id="4" name="Text Box 21"/>
              <wp:cNvGraphicFramePr/>
              <a:graphic xmlns:a="http://schemas.openxmlformats.org/drawingml/2006/main">
                <a:graphicData uri="http://schemas.microsoft.com/office/word/2010/wordprocessingShape">
                  <wps:wsp>
                    <wps:cNvSpPr txBox="1">
                      <a:spLocks noChangeArrowheads="1"/>
                    </wps:cNvSpPr>
                    <wps:spPr bwMode="auto">
                      <a:xfrm>
                        <a:off x="0" y="0"/>
                        <a:ext cx="2921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1" o:spid="_x0000_s1026" o:spt="202" type="#_x0000_t202" style="position:absolute;left:0pt;margin-top:0pt;height:11pt;width:2.3pt;mso-position-horizontal:center;mso-position-horizontal-relative:margin;mso-wrap-style:none;z-index:251964416;mso-width-relative:page;mso-height-relative:page;" filled="f" stroked="f" coordsize="21600,21600" o:gfxdata="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RNRzQAAAAAgEAAA8AAAAAAAAAAQAg&#10;AAAAIgAAAGRycy9kb3ducmV2LnhtbFBLAQIUABQAAAAIAIdO4kDLwnlu3QEAALMDAAAOAAAAAAAA&#10;AAEAIAAAAB8BAABkcnMvZTJvRG9jLnhtbFBLBQYAAAAABgAGAFkBAABu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w:t>
                    </w:r>
                    <w:r>
                      <w:rPr>
                        <w:rFonts w:hint="eastAsia"/>
                        <w:sz w:val="18"/>
                      </w:rPr>
                      <w:fldChar w:fldCharType="end"/>
                    </w:r>
                  </w:p>
                </w:txbxContent>
              </v:textbox>
            </v:shape>
          </w:pict>
        </mc:Fallback>
      </mc:AlternateConten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5440" behindDoc="0" locked="0" layoutInCell="1" allowOverlap="1">
              <wp:simplePos x="0" y="0"/>
              <wp:positionH relativeFrom="margin">
                <wp:align>center</wp:align>
              </wp:positionH>
              <wp:positionV relativeFrom="paragraph">
                <wp:posOffset>0</wp:posOffset>
              </wp:positionV>
              <wp:extent cx="57785" cy="139700"/>
              <wp:effectExtent l="0" t="0" r="0" b="0"/>
              <wp:wrapNone/>
              <wp:docPr id="5" name="Text Box 22"/>
              <wp:cNvGraphicFramePr/>
              <a:graphic xmlns:a="http://schemas.openxmlformats.org/drawingml/2006/main">
                <a:graphicData uri="http://schemas.microsoft.com/office/word/2010/wordprocessingShape">
                  <wps:wsp>
                    <wps:cNvSpPr txBox="1">
                      <a:spLocks noChangeArrowheads="1"/>
                    </wps:cNvSpPr>
                    <wps:spPr bwMode="auto">
                      <a:xfrm>
                        <a:off x="0" y="0"/>
                        <a:ext cx="5778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2" o:spid="_x0000_s1026" o:spt="202" type="#_x0000_t202" style="position:absolute;left:0pt;margin-top:0pt;height:11pt;width:4.55pt;mso-position-horizontal:center;mso-position-horizontal-relative:margin;mso-wrap-style:none;z-index:251965440;mso-width-relative:page;mso-height-relative:page;" filled="f" stroked="f" coordsize="21600,21600" o:gfxdata="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Idi3EzwAAAAIBAAAPAAAAAAAAAAEA&#10;IAAAACIAAABkcnMvZG93bnJldi54bWxQSwECFAAUAAAACACHTuJAa9O2898BAACzAwAADgAAAAAA&#10;AAABACAAAAAeAQAAZHJzL2Uyb0RvYy54bWxQSwUGAAAAAAYABgBZAQAAbw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w:t>
                    </w:r>
                    <w:r>
                      <w:rPr>
                        <w:rFonts w:hint="eastAsia"/>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6464" behindDoc="0" locked="0" layoutInCell="1" allowOverlap="1">
              <wp:simplePos x="0" y="0"/>
              <wp:positionH relativeFrom="margin">
                <wp:align>center</wp:align>
              </wp:positionH>
              <wp:positionV relativeFrom="paragraph">
                <wp:posOffset>0</wp:posOffset>
              </wp:positionV>
              <wp:extent cx="65405" cy="139700"/>
              <wp:effectExtent l="0" t="0" r="0" b="0"/>
              <wp:wrapNone/>
              <wp:docPr id="3" name="Text Box 23"/>
              <wp:cNvGraphicFramePr/>
              <a:graphic xmlns:a="http://schemas.openxmlformats.org/drawingml/2006/main">
                <a:graphicData uri="http://schemas.microsoft.com/office/word/2010/wordprocessingShape">
                  <wps:wsp>
                    <wps:cNvSpPr txBox="1">
                      <a:spLocks noChangeArrowheads="1"/>
                    </wps:cNvSpPr>
                    <wps:spPr bwMode="auto">
                      <a:xfrm>
                        <a:off x="0" y="0"/>
                        <a:ext cx="654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3" o:spid="_x0000_s1026" o:spt="202" type="#_x0000_t202" style="position:absolute;left:0pt;margin-top:0pt;height:11pt;width:5.15pt;mso-position-horizontal:center;mso-position-horizontal-relative:margin;mso-wrap-style:none;z-index:251966464;mso-width-relative:page;mso-height-relative:page;" filled="f" stroked="f" coordsize="21600,21600" o:gfxdata="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7GORnQAAAAAwEAAA8AAAAAAAAA&#10;AQAgAAAAIgAAAGRycy9kb3ducmV2LnhtbFBLAQIUABQAAAAIAIdO4kDs9QC24AEAALMDAAAOAAAA&#10;AAAAAAEAIAAAAB8BAABkcnMvZTJvRG9jLnhtbFBLBQYAAAAABgAGAFkBAABx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VII</w:t>
                    </w:r>
                    <w:r>
                      <w:rPr>
                        <w:rFonts w:hint="eastAsia"/>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7488"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Text Box 26"/>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6" o:spid="_x0000_s1026" o:spt="202" type="#_x0000_t202" style="position:absolute;left:0pt;margin-top:0pt;height:11pt;width:9.15pt;mso-position-horizontal:center;mso-position-horizontal-relative:margin;mso-wrap-style:none;z-index:251967488;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GLpYU0AAAAAMBAAAPAAAAAAAAAAEA&#10;IAAAACIAAABkcnMvZG93bnJldi54bWxQSwECFAAUAAAACACHTuJALBe5q94BAAC0AwAADgAAAAAA&#10;AAABACAAAAAfAQAAZHJzL2Uyb0RvYy54bWxQSwUGAAAAAAYABgBZAQAAbw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8512"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Text Box 27"/>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7" o:spid="_x0000_s1026" o:spt="202" type="#_x0000_t202" style="position:absolute;left:0pt;margin-top:0pt;height:11pt;width:9.15pt;mso-position-horizontal:center;mso-position-horizontal-relative:margin;mso-wrap-style:none;z-index:251968512;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Bi6WFNAAAAADAQAADwAAAAAAAAAB&#10;ACAAAAAiAAAAZHJzL2Rvd25yZXYueG1sUEsBAhQAFAAAAAgAh07iQElCId/fAQAAtAMAAA4AAAAA&#10;AAAAAQAgAAAAHwEAAGRycy9lMm9Eb2MueG1sUEsFBgAAAAAGAAYAWQEAAHA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7"/>
        <w:rPr>
          <w:rFonts w:ascii="Times New Roman" w:hAnsi="Times New Roman" w:cs="Times New Roman"/>
          <w:sz w:val="18"/>
          <w:szCs w:val="18"/>
        </w:rPr>
      </w:pPr>
      <w:r>
        <w:rPr>
          <w:rStyle w:val="35"/>
          <w:rFonts w:ascii="Times New Roman" w:hAnsi="Times New Roman" w:cs="Times New Roman"/>
          <w:sz w:val="21"/>
          <w:szCs w:val="32"/>
        </w:rPr>
        <w:footnoteRef/>
      </w:r>
      <w:r>
        <w:rPr>
          <w:rFonts w:ascii="Times New Roman" w:hAnsi="Times New Roman" w:cs="Times New Roman"/>
          <w:sz w:val="18"/>
          <w:szCs w:val="18"/>
        </w:rPr>
        <w:t xml:space="preserve"> </w:t>
      </w:r>
      <w:r>
        <w:rPr>
          <w:rFonts w:ascii="Times New Roman" w:hAnsi="Times New Roman" w:eastAsia="宋体" w:cs="Times New Roman"/>
          <w:sz w:val="18"/>
          <w:szCs w:val="18"/>
        </w:rPr>
        <w:t>Inessa Shalevich</w:t>
      </w:r>
      <w:r>
        <w:rPr>
          <w:rFonts w:hint="eastAsia" w:ascii="Times New Roman" w:hAnsi="Times New Roman" w:eastAsia="宋体" w:cs="Times New Roman"/>
          <w:sz w:val="18"/>
          <w:szCs w:val="18"/>
        </w:rPr>
        <w:t>,</w:t>
      </w:r>
      <w:r>
        <w:rPr>
          <w:rFonts w:ascii="Times New Roman" w:hAnsi="Times New Roman" w:eastAsia="宋体" w:cs="Times New Roman"/>
          <w:sz w:val="18"/>
          <w:szCs w:val="18"/>
        </w:rPr>
        <w:t>Protection of Trademarks and Geographical Indications</w:t>
      </w:r>
      <w:r>
        <w:rPr>
          <w:rFonts w:hint="eastAsia" w:ascii="Times New Roman" w:hAnsi="Times New Roman" w:eastAsia="宋体" w:cs="Times New Roman"/>
          <w:sz w:val="18"/>
          <w:szCs w:val="18"/>
        </w:rPr>
        <w:t>[J],</w:t>
      </w:r>
      <w:r>
        <w:rPr>
          <w:rFonts w:ascii="Times New Roman" w:hAnsi="Times New Roman" w:eastAsia="宋体" w:cs="Times New Roman"/>
          <w:sz w:val="18"/>
          <w:szCs w:val="18"/>
        </w:rPr>
        <w:t>Buffalo Intellectual Property Law Journal</w:t>
      </w:r>
      <w:r>
        <w:rPr>
          <w:rFonts w:hint="eastAsia" w:ascii="Times New Roman" w:hAnsi="Times New Roman" w:eastAsia="宋体" w:cs="Times New Roman"/>
          <w:sz w:val="18"/>
          <w:szCs w:val="18"/>
        </w:rPr>
        <w:t>,</w:t>
      </w:r>
      <w:r>
        <w:rPr>
          <w:rFonts w:ascii="Times New Roman" w:hAnsi="Times New Roman" w:eastAsia="宋体" w:cs="Times New Roman"/>
          <w:sz w:val="18"/>
          <w:szCs w:val="18"/>
        </w:rPr>
        <w:t>2008</w:t>
      </w:r>
      <w:r>
        <w:rPr>
          <w:rFonts w:hint="eastAsia" w:ascii="Times New Roman" w:hAnsi="Times New Roman" w:eastAsia="宋体" w:cs="Times New Roman"/>
          <w:sz w:val="18"/>
          <w:szCs w:val="18"/>
        </w:rPr>
        <w:t>(6).</w:t>
      </w:r>
    </w:p>
  </w:footnote>
  <w:footnote w:id="1">
    <w:p>
      <w:pPr>
        <w:pStyle w:val="17"/>
        <w:rPr>
          <w:rFonts w:hint="default" w:ascii="Times New Roman" w:hAnsi="Times New Roman" w:eastAsia="宋体" w:cs="Times New Roman"/>
          <w:sz w:val="18"/>
          <w:szCs w:val="18"/>
        </w:rPr>
      </w:pPr>
      <w:r>
        <w:rPr>
          <w:rStyle w:val="35"/>
          <w:rFonts w:ascii="Times New Roman" w:hAnsi="Times New Roman" w:cs="Times New Roman"/>
          <w:sz w:val="18"/>
          <w:szCs w:val="18"/>
        </w:rPr>
        <w:footnoteRef/>
      </w:r>
      <w:r>
        <w:rPr>
          <w:rFonts w:ascii="Times New Roman" w:hAnsi="Times New Roman" w:cs="Times New Roman"/>
          <w:sz w:val="21"/>
          <w:szCs w:val="32"/>
        </w:rPr>
        <w:t xml:space="preserve"> </w:t>
      </w:r>
      <w:r>
        <w:rPr>
          <w:rFonts w:hint="default" w:ascii="Times New Roman" w:hAnsi="Times New Roman" w:eastAsia="宋体" w:cs="Times New Roman"/>
          <w:sz w:val="18"/>
          <w:szCs w:val="18"/>
        </w:rPr>
        <w:t>Bruce Babcock,Geographic Indications and Farmer-Owned Brands:Why Do the US and EU Disagree[J],</w:t>
      </w:r>
    </w:p>
    <w:p>
      <w:pPr>
        <w:pStyle w:val="17"/>
        <w:rPr>
          <w:rFonts w:hint="default" w:ascii="Times New Roman" w:hAnsi="Times New Roman" w:cs="Times New Roman"/>
          <w:sz w:val="18"/>
          <w:szCs w:val="18"/>
        </w:rPr>
      </w:pPr>
      <w:r>
        <w:rPr>
          <w:rFonts w:hint="default" w:ascii="Times New Roman" w:hAnsi="Times New Roman" w:eastAsia="宋体" w:cs="Times New Roman"/>
          <w:sz w:val="18"/>
          <w:szCs w:val="18"/>
        </w:rPr>
        <w:t>EuroChoices,2005(2).</w:t>
      </w:r>
    </w:p>
  </w:footnote>
  <w:footnote w:id="2">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Bradley M. Bashaw,Comment: Geographical Indications in China: Why Protect GIs both Trademark Law and Aoc-Type Legislation[J],Pacific Rim Law &amp; Policy Joural,2008(17).</w:t>
      </w:r>
    </w:p>
  </w:footnote>
  <w:footnote w:id="3">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Amy P.Cotton,Comment:123 Years at the Negotiating Table and Still no Dessert?The Case in Support of TRIPS Geographical Indication Protections[J],Chicago一Kent Law Review,2007(6).</w:t>
      </w:r>
    </w:p>
  </w:footnote>
  <w:footnote w:id="4">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Bilge Dogan，Ummuhan Gokovali,Geographical indications:The Aspects of Rural Development and Marketing Through the Traditional Products[J],Procedia-Social and Behavioral Sciences,2012(62).</w:t>
      </w:r>
    </w:p>
  </w:footnote>
  <w:footnote w:id="5">
    <w:p>
      <w:pPr>
        <w:pStyle w:val="17"/>
        <w:rPr>
          <w:rFonts w:hint="default" w:ascii="Times New Roman" w:hAnsi="Times New Roman"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Irina Kireev,How to register geographical indications in the European Community[J],World Patent Information,2010(1).</w:t>
      </w:r>
    </w:p>
  </w:footnote>
  <w:footnote w:id="6">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[美]南姆·卡朴库，《无等级的合作:公共部门与非营利部门合作伙伴关系》，周洁译，《国家行政学院学报》，2004年第1期。</w:t>
      </w:r>
    </w:p>
  </w:footnote>
  <w:footnote w:id="7">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[美]保罗·斯特单腾，《非政府组织和发展》，何增科译，社会科学文献出版社，2000年版，第337-340页。</w:t>
      </w:r>
    </w:p>
  </w:footnote>
  <w:footnote w:id="8">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赵黎青，《非营利部门与中国发展》，香港社会科学出版社，2003年版，第141-147页。</w:t>
      </w:r>
    </w:p>
  </w:footnote>
  <w:footnote w:id="9">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赵小平，《地理标志的法律保护研究》，法律出版社，2007年版，第108-110页。</w:t>
      </w:r>
    </w:p>
  </w:footnote>
  <w:footnote w:id="10">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田芙蓉，《地理标志法律保护制度研究》，知识产权出版社，2009年版。</w:t>
      </w:r>
    </w:p>
  </w:footnote>
  <w:footnote w:id="11">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李华，王照科，《地理标志与商标的本质区别》，《世界农业》，2006年第1期。</w:t>
      </w:r>
    </w:p>
  </w:footnote>
  <w:footnote w:id="12">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黄华均，《农业现代化与地理标志的知识产权保护》，《法学研究》，2006年第1期。</w:t>
      </w:r>
    </w:p>
  </w:footnote>
  <w:footnote w:id="13">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金发忠，《农产品地理标志登记保护问题研究》，《农业质量标准》，2009年第4期。</w:t>
      </w:r>
    </w:p>
  </w:footnote>
  <w:footnote w:id="14">
    <w:p>
      <w:pPr>
        <w:pStyle w:val="17"/>
        <w:rPr>
          <w:rFonts w:ascii="宋体" w:hAnsi="宋体" w:eastAsia="宋体" w:cs="宋体"/>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冯忠泽，盛松华，张梦飞，《中国农产品地理标志管理制度发展方略思考》，《世界农业》，2007</w:t>
      </w:r>
      <w:r>
        <w:rPr>
          <w:rFonts w:hint="eastAsia" w:ascii="宋体" w:hAnsi="宋体" w:eastAsia="宋体" w:cs="宋体"/>
          <w:sz w:val="21"/>
          <w:szCs w:val="32"/>
        </w:rPr>
        <w:t>年第2期。</w:t>
      </w:r>
    </w:p>
  </w:footnote>
  <w:footnote w:id="15">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张梦飞，《中国地理标志制度构建取向研究》，《中国农学通报》，2007年第1期。</w:t>
      </w:r>
    </w:p>
  </w:footnote>
  <w:footnote w:id="16">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王笑冰，《地理标志的经济分析》，《知识产权》，2005年第5期。</w:t>
      </w:r>
    </w:p>
  </w:footnote>
  <w:footnote w:id="17">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王志本，《原产地域产品保护与提高我国农产品国际竞争力》，《世界农业》，2002年第5期。</w:t>
      </w:r>
    </w:p>
  </w:footnote>
  <w:footnote w:id="18">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邓宏光，《论知识产权对农业产业化的促进作用》，《农村经济》，2005年第12期。</w:t>
      </w:r>
    </w:p>
  </w:footnote>
  <w:footnote w:id="19">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吴锦良，《论政府机构改革与第三部门发展的互动关系》，《中共福建省委党校学报》，2002年第1期。</w:t>
      </w:r>
    </w:p>
  </w:footnote>
  <w:footnote w:id="20">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冯必扬，《社会和谐与第三部门的发展》，《江海学刊》，2005年第2期。</w:t>
      </w:r>
    </w:p>
  </w:footnote>
  <w:footnote w:id="21">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潘劲，《农产品行业协会：现状、问题与发展思路》，《中国农村经济》，2007年第4期。</w:t>
      </w:r>
    </w:p>
  </w:footnote>
  <w:footnote w:id="22">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蔡秀玲，《对WTO框架下完善农业行业协会的思考》，《农村合作经济经营管理》，2002年第7期。</w:t>
      </w:r>
    </w:p>
  </w:footnote>
  <w:footnote w:id="23">
    <w:p>
      <w:pPr>
        <w:pStyle w:val="17"/>
      </w:pPr>
      <w:r>
        <w:rPr>
          <w:rStyle w:val="35"/>
        </w:rPr>
        <w:footnoteRef/>
      </w:r>
      <w:r>
        <w:rPr>
          <w:rFonts w:hint="eastAsia"/>
        </w:rPr>
        <w:t>根据中国知网文献查询总结，信息截止到2017年1月。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firstLine="360"/>
      <w:jc w:val="center"/>
    </w:pPr>
    <w:r>
      <w:rPr>
        <w:rFonts w:hint="eastAsia"/>
        <w:sz w:val="21"/>
        <w:szCs w:val="32"/>
      </w:rPr>
      <w:t>山东农业大学</w:t>
    </w:r>
    <w:r>
      <w:rPr>
        <w:rFonts w:hint="eastAsia"/>
        <w:sz w:val="21"/>
        <w:szCs w:val="32"/>
        <w:lang w:val="en-US" w:eastAsia="zh-CN"/>
      </w:rPr>
      <w:t>全日制</w:t>
    </w:r>
    <w:r>
      <w:rPr>
        <w:rFonts w:hint="eastAsia"/>
        <w:sz w:val="21"/>
        <w:szCs w:val="32"/>
      </w:rPr>
      <w:t>硕士</w:t>
    </w:r>
    <w:r>
      <w:rPr>
        <w:rFonts w:hint="eastAsia"/>
        <w:sz w:val="21"/>
        <w:szCs w:val="32"/>
        <w:lang w:val="en-US" w:eastAsia="zh-CN"/>
      </w:rPr>
      <w:t>专业</w:t>
    </w:r>
    <w:r>
      <w:rPr>
        <w:rFonts w:hint="eastAsia"/>
        <w:sz w:val="21"/>
        <w:szCs w:val="32"/>
      </w:rPr>
      <w:t>学位论文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firstLine="360"/>
      <w:jc w:val="center"/>
    </w:pPr>
    <w:r>
      <w:rPr>
        <w:rFonts w:hint="eastAsia"/>
        <w:sz w:val="21"/>
        <w:szCs w:val="32"/>
      </w:rPr>
      <w:t>我国农产品地理标志保护研究——以非政府组织为视角</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7B833"/>
    <w:multiLevelType w:val="singleLevel"/>
    <w:tmpl w:val="5A37B83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attachedTemplate r:id="rId1"/>
  <w:documentProtection w:enforcement="0"/>
  <w:defaultTabStop w:val="420"/>
  <w:evenAndOddHeaders w:val="1"/>
  <w:drawingGridHorizontalSpacing w:val="21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528"/>
    <w:rsid w:val="00016E0B"/>
    <w:rsid w:val="00022CC9"/>
    <w:rsid w:val="000611CC"/>
    <w:rsid w:val="000843FC"/>
    <w:rsid w:val="000954F6"/>
    <w:rsid w:val="00155A94"/>
    <w:rsid w:val="00172A27"/>
    <w:rsid w:val="001772B5"/>
    <w:rsid w:val="001A3DE9"/>
    <w:rsid w:val="001D55C8"/>
    <w:rsid w:val="001E7CD2"/>
    <w:rsid w:val="00200BD6"/>
    <w:rsid w:val="00213EDC"/>
    <w:rsid w:val="00225E6B"/>
    <w:rsid w:val="003168CB"/>
    <w:rsid w:val="003851DA"/>
    <w:rsid w:val="003908F8"/>
    <w:rsid w:val="003E5A2F"/>
    <w:rsid w:val="00456405"/>
    <w:rsid w:val="004773A2"/>
    <w:rsid w:val="004A3A80"/>
    <w:rsid w:val="004E518A"/>
    <w:rsid w:val="004F5207"/>
    <w:rsid w:val="00501B09"/>
    <w:rsid w:val="005530B9"/>
    <w:rsid w:val="00570634"/>
    <w:rsid w:val="005B7436"/>
    <w:rsid w:val="005C3646"/>
    <w:rsid w:val="005D4080"/>
    <w:rsid w:val="005D4965"/>
    <w:rsid w:val="005F39BE"/>
    <w:rsid w:val="00615E93"/>
    <w:rsid w:val="00622BAB"/>
    <w:rsid w:val="00651DCA"/>
    <w:rsid w:val="006F2456"/>
    <w:rsid w:val="006F389F"/>
    <w:rsid w:val="0071414D"/>
    <w:rsid w:val="007965C5"/>
    <w:rsid w:val="007B2F4C"/>
    <w:rsid w:val="007C5071"/>
    <w:rsid w:val="007E43CD"/>
    <w:rsid w:val="00823225"/>
    <w:rsid w:val="009038DF"/>
    <w:rsid w:val="00904CA9"/>
    <w:rsid w:val="00965899"/>
    <w:rsid w:val="009F7996"/>
    <w:rsid w:val="00A218A1"/>
    <w:rsid w:val="00A31008"/>
    <w:rsid w:val="00A61CE4"/>
    <w:rsid w:val="00AB727B"/>
    <w:rsid w:val="00AD44B4"/>
    <w:rsid w:val="00AF0580"/>
    <w:rsid w:val="00B05676"/>
    <w:rsid w:val="00B30A5B"/>
    <w:rsid w:val="00B4186B"/>
    <w:rsid w:val="00B50798"/>
    <w:rsid w:val="00B56891"/>
    <w:rsid w:val="00B75079"/>
    <w:rsid w:val="00B8157C"/>
    <w:rsid w:val="00C13DC1"/>
    <w:rsid w:val="00C32D8F"/>
    <w:rsid w:val="00C51319"/>
    <w:rsid w:val="00C55047"/>
    <w:rsid w:val="00C8520A"/>
    <w:rsid w:val="00CA49F4"/>
    <w:rsid w:val="00CE00CA"/>
    <w:rsid w:val="00CE4B86"/>
    <w:rsid w:val="00D24395"/>
    <w:rsid w:val="00D477C3"/>
    <w:rsid w:val="00E3058F"/>
    <w:rsid w:val="00E71ECB"/>
    <w:rsid w:val="00E81AB6"/>
    <w:rsid w:val="00EB2390"/>
    <w:rsid w:val="00EC66D9"/>
    <w:rsid w:val="00FB567D"/>
    <w:rsid w:val="00FC62B8"/>
    <w:rsid w:val="010517DF"/>
    <w:rsid w:val="01297D47"/>
    <w:rsid w:val="017043E3"/>
    <w:rsid w:val="01795FCE"/>
    <w:rsid w:val="01930061"/>
    <w:rsid w:val="01962488"/>
    <w:rsid w:val="019F6343"/>
    <w:rsid w:val="01BB274C"/>
    <w:rsid w:val="01BB42C2"/>
    <w:rsid w:val="0209011A"/>
    <w:rsid w:val="022B16BF"/>
    <w:rsid w:val="022D1862"/>
    <w:rsid w:val="026F1827"/>
    <w:rsid w:val="02827537"/>
    <w:rsid w:val="02A11DF3"/>
    <w:rsid w:val="02CF7113"/>
    <w:rsid w:val="02D05359"/>
    <w:rsid w:val="03075B60"/>
    <w:rsid w:val="030C18B5"/>
    <w:rsid w:val="03313FE5"/>
    <w:rsid w:val="03670504"/>
    <w:rsid w:val="038C70F0"/>
    <w:rsid w:val="03D7167A"/>
    <w:rsid w:val="03DB4CE2"/>
    <w:rsid w:val="03DF4195"/>
    <w:rsid w:val="04597897"/>
    <w:rsid w:val="048012B5"/>
    <w:rsid w:val="04BF7E41"/>
    <w:rsid w:val="04E90DA4"/>
    <w:rsid w:val="050D1A49"/>
    <w:rsid w:val="05147D47"/>
    <w:rsid w:val="05311344"/>
    <w:rsid w:val="05483DFF"/>
    <w:rsid w:val="05497FC9"/>
    <w:rsid w:val="058D33F1"/>
    <w:rsid w:val="061C39F3"/>
    <w:rsid w:val="06341F2C"/>
    <w:rsid w:val="064C292F"/>
    <w:rsid w:val="06670073"/>
    <w:rsid w:val="06786740"/>
    <w:rsid w:val="06913D03"/>
    <w:rsid w:val="06AA4B2B"/>
    <w:rsid w:val="06B22861"/>
    <w:rsid w:val="06DE2D40"/>
    <w:rsid w:val="06ED7D1A"/>
    <w:rsid w:val="06EF2CA1"/>
    <w:rsid w:val="06F92690"/>
    <w:rsid w:val="06FD3277"/>
    <w:rsid w:val="0729685A"/>
    <w:rsid w:val="07355732"/>
    <w:rsid w:val="07412DA8"/>
    <w:rsid w:val="07446611"/>
    <w:rsid w:val="07540175"/>
    <w:rsid w:val="075D735E"/>
    <w:rsid w:val="077F4276"/>
    <w:rsid w:val="079D38A3"/>
    <w:rsid w:val="07B964F4"/>
    <w:rsid w:val="07CB2554"/>
    <w:rsid w:val="07D326DE"/>
    <w:rsid w:val="07FC076E"/>
    <w:rsid w:val="07FF6391"/>
    <w:rsid w:val="08112816"/>
    <w:rsid w:val="082700BB"/>
    <w:rsid w:val="084B66D9"/>
    <w:rsid w:val="084C6831"/>
    <w:rsid w:val="08603917"/>
    <w:rsid w:val="086E56F9"/>
    <w:rsid w:val="08752FE4"/>
    <w:rsid w:val="08760E35"/>
    <w:rsid w:val="08C94625"/>
    <w:rsid w:val="08F54295"/>
    <w:rsid w:val="09202C20"/>
    <w:rsid w:val="093405DB"/>
    <w:rsid w:val="094E2E3D"/>
    <w:rsid w:val="09813A34"/>
    <w:rsid w:val="098400F4"/>
    <w:rsid w:val="09CF77A8"/>
    <w:rsid w:val="0A0B52E4"/>
    <w:rsid w:val="0A186FB9"/>
    <w:rsid w:val="0A2A362D"/>
    <w:rsid w:val="0A374B31"/>
    <w:rsid w:val="0A3E4D8D"/>
    <w:rsid w:val="0A5D7CCE"/>
    <w:rsid w:val="0A612AD8"/>
    <w:rsid w:val="0A623AF3"/>
    <w:rsid w:val="0A7C5627"/>
    <w:rsid w:val="0A92426E"/>
    <w:rsid w:val="0AAA401D"/>
    <w:rsid w:val="0ACC368A"/>
    <w:rsid w:val="0ADE648E"/>
    <w:rsid w:val="0AE37F32"/>
    <w:rsid w:val="0B260A6A"/>
    <w:rsid w:val="0B286A1F"/>
    <w:rsid w:val="0B4C6110"/>
    <w:rsid w:val="0B66742A"/>
    <w:rsid w:val="0BC27E1B"/>
    <w:rsid w:val="0BC601D1"/>
    <w:rsid w:val="0BD24536"/>
    <w:rsid w:val="0BE335D2"/>
    <w:rsid w:val="0C52740F"/>
    <w:rsid w:val="0C6C62BC"/>
    <w:rsid w:val="0CA04E75"/>
    <w:rsid w:val="0CBF6C5C"/>
    <w:rsid w:val="0CD36BE9"/>
    <w:rsid w:val="0CF41397"/>
    <w:rsid w:val="0CFD4BD2"/>
    <w:rsid w:val="0CFF52C6"/>
    <w:rsid w:val="0D0D524B"/>
    <w:rsid w:val="0D29544C"/>
    <w:rsid w:val="0D591FE3"/>
    <w:rsid w:val="0D6E4A90"/>
    <w:rsid w:val="0DA04D5F"/>
    <w:rsid w:val="0DF72176"/>
    <w:rsid w:val="0E010795"/>
    <w:rsid w:val="0E0905BC"/>
    <w:rsid w:val="0E411A3B"/>
    <w:rsid w:val="0E414324"/>
    <w:rsid w:val="0E915B2D"/>
    <w:rsid w:val="0E9D161D"/>
    <w:rsid w:val="0EA05AF9"/>
    <w:rsid w:val="0EAD6A68"/>
    <w:rsid w:val="0EBD2E9E"/>
    <w:rsid w:val="0EF5095A"/>
    <w:rsid w:val="0F043D06"/>
    <w:rsid w:val="0F0728BD"/>
    <w:rsid w:val="0F0D0DF9"/>
    <w:rsid w:val="0F4C7464"/>
    <w:rsid w:val="0F647D69"/>
    <w:rsid w:val="0F7251A7"/>
    <w:rsid w:val="0F7578F2"/>
    <w:rsid w:val="0F8C0EA0"/>
    <w:rsid w:val="0F95493C"/>
    <w:rsid w:val="0F967F0D"/>
    <w:rsid w:val="0F9F0C65"/>
    <w:rsid w:val="0FE34242"/>
    <w:rsid w:val="0FF14701"/>
    <w:rsid w:val="0FF42809"/>
    <w:rsid w:val="100A1F89"/>
    <w:rsid w:val="100C13D1"/>
    <w:rsid w:val="1011555E"/>
    <w:rsid w:val="10263142"/>
    <w:rsid w:val="106344A7"/>
    <w:rsid w:val="1064541D"/>
    <w:rsid w:val="108E3384"/>
    <w:rsid w:val="10961E9C"/>
    <w:rsid w:val="109D4488"/>
    <w:rsid w:val="10A412B7"/>
    <w:rsid w:val="10C23C3F"/>
    <w:rsid w:val="10CD630C"/>
    <w:rsid w:val="10D37F0D"/>
    <w:rsid w:val="10F53A33"/>
    <w:rsid w:val="10FF50F5"/>
    <w:rsid w:val="110B03F5"/>
    <w:rsid w:val="111169E0"/>
    <w:rsid w:val="11292621"/>
    <w:rsid w:val="117450BC"/>
    <w:rsid w:val="117874D8"/>
    <w:rsid w:val="11836BDF"/>
    <w:rsid w:val="1192532E"/>
    <w:rsid w:val="11A14265"/>
    <w:rsid w:val="11AA7DD2"/>
    <w:rsid w:val="122B653D"/>
    <w:rsid w:val="123D542B"/>
    <w:rsid w:val="12597BA3"/>
    <w:rsid w:val="12867D5A"/>
    <w:rsid w:val="12AB2CA3"/>
    <w:rsid w:val="12B44EAF"/>
    <w:rsid w:val="12FC5BB0"/>
    <w:rsid w:val="131E2866"/>
    <w:rsid w:val="131E3ED1"/>
    <w:rsid w:val="13677902"/>
    <w:rsid w:val="1377580A"/>
    <w:rsid w:val="13A2268F"/>
    <w:rsid w:val="13A34DB7"/>
    <w:rsid w:val="13A67E01"/>
    <w:rsid w:val="13A7120F"/>
    <w:rsid w:val="13D564F0"/>
    <w:rsid w:val="13D82E12"/>
    <w:rsid w:val="13DE7B6B"/>
    <w:rsid w:val="142A032F"/>
    <w:rsid w:val="142B7B85"/>
    <w:rsid w:val="14320DA4"/>
    <w:rsid w:val="143527A4"/>
    <w:rsid w:val="146202B3"/>
    <w:rsid w:val="147919B1"/>
    <w:rsid w:val="14A8684A"/>
    <w:rsid w:val="14C57350"/>
    <w:rsid w:val="14C6507D"/>
    <w:rsid w:val="14D72ED5"/>
    <w:rsid w:val="14F10A23"/>
    <w:rsid w:val="14F95005"/>
    <w:rsid w:val="151506AC"/>
    <w:rsid w:val="1558745F"/>
    <w:rsid w:val="15871555"/>
    <w:rsid w:val="158A7348"/>
    <w:rsid w:val="158D3BF9"/>
    <w:rsid w:val="158E3A69"/>
    <w:rsid w:val="15C56F6C"/>
    <w:rsid w:val="15C77DE4"/>
    <w:rsid w:val="15E65506"/>
    <w:rsid w:val="162106C0"/>
    <w:rsid w:val="16525F4F"/>
    <w:rsid w:val="16552096"/>
    <w:rsid w:val="1659531C"/>
    <w:rsid w:val="168D3570"/>
    <w:rsid w:val="169C32E7"/>
    <w:rsid w:val="16E13868"/>
    <w:rsid w:val="171B1B13"/>
    <w:rsid w:val="17280AA5"/>
    <w:rsid w:val="17622314"/>
    <w:rsid w:val="17784373"/>
    <w:rsid w:val="17E775A4"/>
    <w:rsid w:val="17F050FE"/>
    <w:rsid w:val="180216AE"/>
    <w:rsid w:val="183471DC"/>
    <w:rsid w:val="18781DEF"/>
    <w:rsid w:val="18933740"/>
    <w:rsid w:val="19507E14"/>
    <w:rsid w:val="195161A6"/>
    <w:rsid w:val="1960582B"/>
    <w:rsid w:val="196C7B3C"/>
    <w:rsid w:val="19745697"/>
    <w:rsid w:val="199A6BC8"/>
    <w:rsid w:val="19B777F0"/>
    <w:rsid w:val="19DE790B"/>
    <w:rsid w:val="1A2B50E5"/>
    <w:rsid w:val="1A5F71D0"/>
    <w:rsid w:val="1A64286F"/>
    <w:rsid w:val="1A9250F7"/>
    <w:rsid w:val="1AB00F8B"/>
    <w:rsid w:val="1AC36422"/>
    <w:rsid w:val="1AEB2431"/>
    <w:rsid w:val="1B0A22CA"/>
    <w:rsid w:val="1B4E4D6B"/>
    <w:rsid w:val="1B872A58"/>
    <w:rsid w:val="1BA6475F"/>
    <w:rsid w:val="1BD17016"/>
    <w:rsid w:val="1BDE05FD"/>
    <w:rsid w:val="1BDE64C4"/>
    <w:rsid w:val="1BEC4B40"/>
    <w:rsid w:val="1C1A7BE3"/>
    <w:rsid w:val="1C220C5F"/>
    <w:rsid w:val="1C30758D"/>
    <w:rsid w:val="1C415C90"/>
    <w:rsid w:val="1C521F87"/>
    <w:rsid w:val="1C75045A"/>
    <w:rsid w:val="1CDF7423"/>
    <w:rsid w:val="1CFB4783"/>
    <w:rsid w:val="1D080C88"/>
    <w:rsid w:val="1D3F646D"/>
    <w:rsid w:val="1D415107"/>
    <w:rsid w:val="1DE12E3C"/>
    <w:rsid w:val="1DE17085"/>
    <w:rsid w:val="1DE44055"/>
    <w:rsid w:val="1E235F18"/>
    <w:rsid w:val="1E3C3096"/>
    <w:rsid w:val="1E53772F"/>
    <w:rsid w:val="1E683A0C"/>
    <w:rsid w:val="1E735275"/>
    <w:rsid w:val="1E7B2E5D"/>
    <w:rsid w:val="1E8A67C9"/>
    <w:rsid w:val="1E9200C4"/>
    <w:rsid w:val="1E92068A"/>
    <w:rsid w:val="1F296F64"/>
    <w:rsid w:val="1F547BEB"/>
    <w:rsid w:val="1F873D4B"/>
    <w:rsid w:val="1FB27A85"/>
    <w:rsid w:val="1FB42D4E"/>
    <w:rsid w:val="1FC64E99"/>
    <w:rsid w:val="1FF7797C"/>
    <w:rsid w:val="20026D0D"/>
    <w:rsid w:val="2003512E"/>
    <w:rsid w:val="20094063"/>
    <w:rsid w:val="20146A8E"/>
    <w:rsid w:val="20161FD3"/>
    <w:rsid w:val="202405E6"/>
    <w:rsid w:val="203259C0"/>
    <w:rsid w:val="2041183E"/>
    <w:rsid w:val="20544A31"/>
    <w:rsid w:val="205505C0"/>
    <w:rsid w:val="206A63B0"/>
    <w:rsid w:val="206F6734"/>
    <w:rsid w:val="209E287D"/>
    <w:rsid w:val="20AA4A75"/>
    <w:rsid w:val="20B65F0C"/>
    <w:rsid w:val="20CC65ED"/>
    <w:rsid w:val="20CD4EB9"/>
    <w:rsid w:val="20CE63DD"/>
    <w:rsid w:val="20D13F5D"/>
    <w:rsid w:val="21031B1B"/>
    <w:rsid w:val="21170F27"/>
    <w:rsid w:val="212B1326"/>
    <w:rsid w:val="214C74E8"/>
    <w:rsid w:val="21671727"/>
    <w:rsid w:val="21715C41"/>
    <w:rsid w:val="21BF2324"/>
    <w:rsid w:val="21CB6CFA"/>
    <w:rsid w:val="21E57B60"/>
    <w:rsid w:val="22136393"/>
    <w:rsid w:val="222207F6"/>
    <w:rsid w:val="228C324D"/>
    <w:rsid w:val="229064E9"/>
    <w:rsid w:val="22E80FE8"/>
    <w:rsid w:val="22F42CB6"/>
    <w:rsid w:val="23174E5D"/>
    <w:rsid w:val="231F79F1"/>
    <w:rsid w:val="232D5D03"/>
    <w:rsid w:val="232E180C"/>
    <w:rsid w:val="23361947"/>
    <w:rsid w:val="23426AA7"/>
    <w:rsid w:val="235029A9"/>
    <w:rsid w:val="237F05D9"/>
    <w:rsid w:val="238F1EBC"/>
    <w:rsid w:val="23982C32"/>
    <w:rsid w:val="239C7437"/>
    <w:rsid w:val="23BA4B9F"/>
    <w:rsid w:val="23C31152"/>
    <w:rsid w:val="24BC0179"/>
    <w:rsid w:val="24F0725E"/>
    <w:rsid w:val="24FA414F"/>
    <w:rsid w:val="256B580C"/>
    <w:rsid w:val="256C2B08"/>
    <w:rsid w:val="257D433F"/>
    <w:rsid w:val="25861727"/>
    <w:rsid w:val="25A06BA6"/>
    <w:rsid w:val="25E3766A"/>
    <w:rsid w:val="25E44973"/>
    <w:rsid w:val="25EB63CB"/>
    <w:rsid w:val="26135F90"/>
    <w:rsid w:val="261A052A"/>
    <w:rsid w:val="261E0B35"/>
    <w:rsid w:val="263B7807"/>
    <w:rsid w:val="263C39DD"/>
    <w:rsid w:val="26414836"/>
    <w:rsid w:val="266124B2"/>
    <w:rsid w:val="279D19ED"/>
    <w:rsid w:val="27A2476B"/>
    <w:rsid w:val="27F45690"/>
    <w:rsid w:val="28261156"/>
    <w:rsid w:val="28480DC0"/>
    <w:rsid w:val="28531FA6"/>
    <w:rsid w:val="28686C16"/>
    <w:rsid w:val="287D244B"/>
    <w:rsid w:val="28F35B1D"/>
    <w:rsid w:val="29087E4A"/>
    <w:rsid w:val="29187827"/>
    <w:rsid w:val="292F6260"/>
    <w:rsid w:val="29986F91"/>
    <w:rsid w:val="2A420C09"/>
    <w:rsid w:val="2A442A05"/>
    <w:rsid w:val="2A5343F3"/>
    <w:rsid w:val="2A5A4709"/>
    <w:rsid w:val="2A8514F0"/>
    <w:rsid w:val="2A882D52"/>
    <w:rsid w:val="2AA62F7F"/>
    <w:rsid w:val="2AC959E1"/>
    <w:rsid w:val="2B1D070D"/>
    <w:rsid w:val="2B3B6B63"/>
    <w:rsid w:val="2B640ADC"/>
    <w:rsid w:val="2B7D3469"/>
    <w:rsid w:val="2B975AC2"/>
    <w:rsid w:val="2BB85824"/>
    <w:rsid w:val="2BE149BB"/>
    <w:rsid w:val="2C075C55"/>
    <w:rsid w:val="2C2B2A78"/>
    <w:rsid w:val="2C490B5F"/>
    <w:rsid w:val="2C810237"/>
    <w:rsid w:val="2CB96A76"/>
    <w:rsid w:val="2CDC22E4"/>
    <w:rsid w:val="2D1533FB"/>
    <w:rsid w:val="2D4C736C"/>
    <w:rsid w:val="2D612A0D"/>
    <w:rsid w:val="2D6E0AE4"/>
    <w:rsid w:val="2D944CBD"/>
    <w:rsid w:val="2DB03247"/>
    <w:rsid w:val="2DB41D5A"/>
    <w:rsid w:val="2E0C2FF3"/>
    <w:rsid w:val="2E1A6355"/>
    <w:rsid w:val="2E3457F1"/>
    <w:rsid w:val="2E884E26"/>
    <w:rsid w:val="2EA678E6"/>
    <w:rsid w:val="2ECB6351"/>
    <w:rsid w:val="2F094A27"/>
    <w:rsid w:val="2F25441B"/>
    <w:rsid w:val="2F362308"/>
    <w:rsid w:val="2F391AE3"/>
    <w:rsid w:val="2F4934F4"/>
    <w:rsid w:val="2F570B98"/>
    <w:rsid w:val="2F844871"/>
    <w:rsid w:val="2F9C6EF0"/>
    <w:rsid w:val="301A2818"/>
    <w:rsid w:val="302F661F"/>
    <w:rsid w:val="30460ABD"/>
    <w:rsid w:val="30B3137D"/>
    <w:rsid w:val="30F90BD2"/>
    <w:rsid w:val="3118459C"/>
    <w:rsid w:val="31321301"/>
    <w:rsid w:val="31547FFC"/>
    <w:rsid w:val="31747347"/>
    <w:rsid w:val="31AB0022"/>
    <w:rsid w:val="31D065F7"/>
    <w:rsid w:val="31DA5048"/>
    <w:rsid w:val="31EB541D"/>
    <w:rsid w:val="3201232F"/>
    <w:rsid w:val="320672B1"/>
    <w:rsid w:val="327A389C"/>
    <w:rsid w:val="328071B8"/>
    <w:rsid w:val="32F11C75"/>
    <w:rsid w:val="32F31656"/>
    <w:rsid w:val="32F76362"/>
    <w:rsid w:val="32FA7C21"/>
    <w:rsid w:val="32FB76B8"/>
    <w:rsid w:val="33017011"/>
    <w:rsid w:val="330908CF"/>
    <w:rsid w:val="333714A9"/>
    <w:rsid w:val="335E105D"/>
    <w:rsid w:val="3377169D"/>
    <w:rsid w:val="33792992"/>
    <w:rsid w:val="33824CDD"/>
    <w:rsid w:val="339B4E2B"/>
    <w:rsid w:val="33F40C31"/>
    <w:rsid w:val="33F61D9C"/>
    <w:rsid w:val="340F1922"/>
    <w:rsid w:val="340F1CD2"/>
    <w:rsid w:val="3413381E"/>
    <w:rsid w:val="342012E4"/>
    <w:rsid w:val="3435502A"/>
    <w:rsid w:val="347B1CCE"/>
    <w:rsid w:val="34E6753C"/>
    <w:rsid w:val="34EC5447"/>
    <w:rsid w:val="352F02DA"/>
    <w:rsid w:val="353555E5"/>
    <w:rsid w:val="35441000"/>
    <w:rsid w:val="357548EE"/>
    <w:rsid w:val="35AE0435"/>
    <w:rsid w:val="35CE1C00"/>
    <w:rsid w:val="35F6742D"/>
    <w:rsid w:val="35FE7495"/>
    <w:rsid w:val="3607045E"/>
    <w:rsid w:val="368547BE"/>
    <w:rsid w:val="368A32E2"/>
    <w:rsid w:val="36A2049D"/>
    <w:rsid w:val="36C73F76"/>
    <w:rsid w:val="36C9123D"/>
    <w:rsid w:val="36D41BCE"/>
    <w:rsid w:val="36D57B1F"/>
    <w:rsid w:val="36D858B9"/>
    <w:rsid w:val="36E25823"/>
    <w:rsid w:val="36E65DAA"/>
    <w:rsid w:val="36F84DB5"/>
    <w:rsid w:val="37051930"/>
    <w:rsid w:val="371F0633"/>
    <w:rsid w:val="37201513"/>
    <w:rsid w:val="372437A6"/>
    <w:rsid w:val="3767277B"/>
    <w:rsid w:val="37844D80"/>
    <w:rsid w:val="378466E1"/>
    <w:rsid w:val="37915F8E"/>
    <w:rsid w:val="379C028C"/>
    <w:rsid w:val="37A62A2C"/>
    <w:rsid w:val="380D1F76"/>
    <w:rsid w:val="38170351"/>
    <w:rsid w:val="38203E8F"/>
    <w:rsid w:val="38224618"/>
    <w:rsid w:val="38262C6E"/>
    <w:rsid w:val="383676D8"/>
    <w:rsid w:val="38592080"/>
    <w:rsid w:val="38672373"/>
    <w:rsid w:val="38701775"/>
    <w:rsid w:val="38F1170D"/>
    <w:rsid w:val="39474A16"/>
    <w:rsid w:val="396E13C5"/>
    <w:rsid w:val="39753770"/>
    <w:rsid w:val="397C4ED7"/>
    <w:rsid w:val="398A5AE0"/>
    <w:rsid w:val="39977B06"/>
    <w:rsid w:val="39A71CE9"/>
    <w:rsid w:val="39AE53DD"/>
    <w:rsid w:val="3A0A6154"/>
    <w:rsid w:val="3A112C81"/>
    <w:rsid w:val="3A2C3B87"/>
    <w:rsid w:val="3A2F6535"/>
    <w:rsid w:val="3A54598E"/>
    <w:rsid w:val="3A6077E6"/>
    <w:rsid w:val="3A6C1C5F"/>
    <w:rsid w:val="3A994A25"/>
    <w:rsid w:val="3AFF5EB8"/>
    <w:rsid w:val="3B005EFC"/>
    <w:rsid w:val="3B470888"/>
    <w:rsid w:val="3B536DDB"/>
    <w:rsid w:val="3B6C52A9"/>
    <w:rsid w:val="3B7C1E62"/>
    <w:rsid w:val="3B953D12"/>
    <w:rsid w:val="3BA804D1"/>
    <w:rsid w:val="3BB62BB4"/>
    <w:rsid w:val="3BE21639"/>
    <w:rsid w:val="3BE34734"/>
    <w:rsid w:val="3BF2329A"/>
    <w:rsid w:val="3C472F75"/>
    <w:rsid w:val="3C5550E2"/>
    <w:rsid w:val="3C6B4842"/>
    <w:rsid w:val="3CA022B8"/>
    <w:rsid w:val="3CA661E9"/>
    <w:rsid w:val="3CC1363E"/>
    <w:rsid w:val="3D264B9D"/>
    <w:rsid w:val="3D7B1809"/>
    <w:rsid w:val="3DAD5D69"/>
    <w:rsid w:val="3DB54EE8"/>
    <w:rsid w:val="3DB822F8"/>
    <w:rsid w:val="3DBF7493"/>
    <w:rsid w:val="3DD5583F"/>
    <w:rsid w:val="3DE87B67"/>
    <w:rsid w:val="3E215506"/>
    <w:rsid w:val="3E5533AC"/>
    <w:rsid w:val="3E85178D"/>
    <w:rsid w:val="3EA05F19"/>
    <w:rsid w:val="3EB26A49"/>
    <w:rsid w:val="3EF37FDD"/>
    <w:rsid w:val="3F0D059B"/>
    <w:rsid w:val="3F2254A0"/>
    <w:rsid w:val="3F283D85"/>
    <w:rsid w:val="3F2E35BE"/>
    <w:rsid w:val="3F316939"/>
    <w:rsid w:val="3F5E45F5"/>
    <w:rsid w:val="3F6C3274"/>
    <w:rsid w:val="3F914C0E"/>
    <w:rsid w:val="3FB116B0"/>
    <w:rsid w:val="3FCC1314"/>
    <w:rsid w:val="3FCE52AA"/>
    <w:rsid w:val="3FE00078"/>
    <w:rsid w:val="3FFE794B"/>
    <w:rsid w:val="402F0EBC"/>
    <w:rsid w:val="404F6DFF"/>
    <w:rsid w:val="40515086"/>
    <w:rsid w:val="40687B51"/>
    <w:rsid w:val="4071396D"/>
    <w:rsid w:val="40B8005E"/>
    <w:rsid w:val="40E13DAC"/>
    <w:rsid w:val="40E25B6B"/>
    <w:rsid w:val="410727B0"/>
    <w:rsid w:val="410B4A2D"/>
    <w:rsid w:val="413415FC"/>
    <w:rsid w:val="4138166F"/>
    <w:rsid w:val="413A5DD9"/>
    <w:rsid w:val="41407F3E"/>
    <w:rsid w:val="41461178"/>
    <w:rsid w:val="415B43C7"/>
    <w:rsid w:val="415C53E8"/>
    <w:rsid w:val="41A64DD3"/>
    <w:rsid w:val="41C85511"/>
    <w:rsid w:val="41DC3915"/>
    <w:rsid w:val="41FB49C2"/>
    <w:rsid w:val="420A03F9"/>
    <w:rsid w:val="421C0813"/>
    <w:rsid w:val="422464AC"/>
    <w:rsid w:val="42276318"/>
    <w:rsid w:val="42420661"/>
    <w:rsid w:val="42563970"/>
    <w:rsid w:val="425B5C8B"/>
    <w:rsid w:val="425B7144"/>
    <w:rsid w:val="425C3CF7"/>
    <w:rsid w:val="425D1F3D"/>
    <w:rsid w:val="42AB777E"/>
    <w:rsid w:val="42CA0532"/>
    <w:rsid w:val="42E10BD0"/>
    <w:rsid w:val="42E6338C"/>
    <w:rsid w:val="42F526FD"/>
    <w:rsid w:val="42FB21C0"/>
    <w:rsid w:val="42FF5471"/>
    <w:rsid w:val="4316479E"/>
    <w:rsid w:val="435800C8"/>
    <w:rsid w:val="43BA045A"/>
    <w:rsid w:val="44020EBC"/>
    <w:rsid w:val="4402669A"/>
    <w:rsid w:val="441D68F9"/>
    <w:rsid w:val="442F38B2"/>
    <w:rsid w:val="44A862D7"/>
    <w:rsid w:val="44B22E10"/>
    <w:rsid w:val="44F50595"/>
    <w:rsid w:val="4502637F"/>
    <w:rsid w:val="453A3293"/>
    <w:rsid w:val="455A7928"/>
    <w:rsid w:val="45927797"/>
    <w:rsid w:val="459C6F06"/>
    <w:rsid w:val="45B86D4C"/>
    <w:rsid w:val="45BD4E7F"/>
    <w:rsid w:val="45C43915"/>
    <w:rsid w:val="45E34B22"/>
    <w:rsid w:val="45F71C05"/>
    <w:rsid w:val="45FD7552"/>
    <w:rsid w:val="46190957"/>
    <w:rsid w:val="46231F7E"/>
    <w:rsid w:val="46743244"/>
    <w:rsid w:val="46DE6CF5"/>
    <w:rsid w:val="46E95C4A"/>
    <w:rsid w:val="473264C9"/>
    <w:rsid w:val="47584353"/>
    <w:rsid w:val="477106E8"/>
    <w:rsid w:val="47843B54"/>
    <w:rsid w:val="479A5EE1"/>
    <w:rsid w:val="482B49AC"/>
    <w:rsid w:val="482C0FE7"/>
    <w:rsid w:val="48354F02"/>
    <w:rsid w:val="48725EDF"/>
    <w:rsid w:val="488779A0"/>
    <w:rsid w:val="48954414"/>
    <w:rsid w:val="48AB2526"/>
    <w:rsid w:val="48C61F4E"/>
    <w:rsid w:val="48DA5DD2"/>
    <w:rsid w:val="48EF162B"/>
    <w:rsid w:val="48F36CB1"/>
    <w:rsid w:val="49153F0B"/>
    <w:rsid w:val="492A1285"/>
    <w:rsid w:val="494D1C7E"/>
    <w:rsid w:val="49550B7C"/>
    <w:rsid w:val="49BF60D7"/>
    <w:rsid w:val="49C36971"/>
    <w:rsid w:val="49D4612E"/>
    <w:rsid w:val="49E366E9"/>
    <w:rsid w:val="4A6F3A38"/>
    <w:rsid w:val="4A771086"/>
    <w:rsid w:val="4AA23C4F"/>
    <w:rsid w:val="4AD046EC"/>
    <w:rsid w:val="4AD73647"/>
    <w:rsid w:val="4B104149"/>
    <w:rsid w:val="4B104829"/>
    <w:rsid w:val="4B214ED6"/>
    <w:rsid w:val="4B3156D3"/>
    <w:rsid w:val="4B467A43"/>
    <w:rsid w:val="4B544711"/>
    <w:rsid w:val="4B6C5AF6"/>
    <w:rsid w:val="4B7510EB"/>
    <w:rsid w:val="4B832331"/>
    <w:rsid w:val="4B9E4476"/>
    <w:rsid w:val="4BA63EBD"/>
    <w:rsid w:val="4BAD72F1"/>
    <w:rsid w:val="4BD22517"/>
    <w:rsid w:val="4C0D1A49"/>
    <w:rsid w:val="4C410350"/>
    <w:rsid w:val="4C8105A9"/>
    <w:rsid w:val="4C91673B"/>
    <w:rsid w:val="4C9C2AD8"/>
    <w:rsid w:val="4CA019CE"/>
    <w:rsid w:val="4CAD31B3"/>
    <w:rsid w:val="4D3416E5"/>
    <w:rsid w:val="4D347BF3"/>
    <w:rsid w:val="4D372268"/>
    <w:rsid w:val="4D3F414F"/>
    <w:rsid w:val="4D404772"/>
    <w:rsid w:val="4D626AD6"/>
    <w:rsid w:val="4D824253"/>
    <w:rsid w:val="4E065D27"/>
    <w:rsid w:val="4E6574BC"/>
    <w:rsid w:val="4E7B456E"/>
    <w:rsid w:val="4EB075D9"/>
    <w:rsid w:val="4ECA5686"/>
    <w:rsid w:val="4EED64C7"/>
    <w:rsid w:val="4F336A71"/>
    <w:rsid w:val="4F3B476B"/>
    <w:rsid w:val="4F463E86"/>
    <w:rsid w:val="4F544828"/>
    <w:rsid w:val="4F544B61"/>
    <w:rsid w:val="4F571B22"/>
    <w:rsid w:val="4F717E54"/>
    <w:rsid w:val="4F7701FB"/>
    <w:rsid w:val="4F7F225F"/>
    <w:rsid w:val="4F8443A7"/>
    <w:rsid w:val="4F931E39"/>
    <w:rsid w:val="4FAE6464"/>
    <w:rsid w:val="4FD62360"/>
    <w:rsid w:val="500C6FC6"/>
    <w:rsid w:val="504A70C9"/>
    <w:rsid w:val="505F5448"/>
    <w:rsid w:val="50830453"/>
    <w:rsid w:val="50FD13E2"/>
    <w:rsid w:val="511F5F7C"/>
    <w:rsid w:val="51306D4F"/>
    <w:rsid w:val="51502686"/>
    <w:rsid w:val="51506721"/>
    <w:rsid w:val="517302F9"/>
    <w:rsid w:val="517463EE"/>
    <w:rsid w:val="518123CE"/>
    <w:rsid w:val="51A11C7C"/>
    <w:rsid w:val="51AE34DE"/>
    <w:rsid w:val="51D74549"/>
    <w:rsid w:val="51E22229"/>
    <w:rsid w:val="52452241"/>
    <w:rsid w:val="525A4529"/>
    <w:rsid w:val="52967961"/>
    <w:rsid w:val="52992197"/>
    <w:rsid w:val="52AD651B"/>
    <w:rsid w:val="52BD0E67"/>
    <w:rsid w:val="52BE4CE4"/>
    <w:rsid w:val="52BF6623"/>
    <w:rsid w:val="52CA39C8"/>
    <w:rsid w:val="52DC66BE"/>
    <w:rsid w:val="532F7297"/>
    <w:rsid w:val="5363135B"/>
    <w:rsid w:val="537F4D8B"/>
    <w:rsid w:val="538B23DA"/>
    <w:rsid w:val="539A49B6"/>
    <w:rsid w:val="53BD2911"/>
    <w:rsid w:val="53C2262E"/>
    <w:rsid w:val="53DC6CFA"/>
    <w:rsid w:val="5416538A"/>
    <w:rsid w:val="546E1357"/>
    <w:rsid w:val="54CA2F21"/>
    <w:rsid w:val="55400E1B"/>
    <w:rsid w:val="55466388"/>
    <w:rsid w:val="5565789D"/>
    <w:rsid w:val="556671DD"/>
    <w:rsid w:val="55735013"/>
    <w:rsid w:val="55C3029F"/>
    <w:rsid w:val="55DF0E39"/>
    <w:rsid w:val="55E74EB7"/>
    <w:rsid w:val="5621706D"/>
    <w:rsid w:val="56393561"/>
    <w:rsid w:val="567C20F6"/>
    <w:rsid w:val="568C2D30"/>
    <w:rsid w:val="56944745"/>
    <w:rsid w:val="56AA46BE"/>
    <w:rsid w:val="56D25FAE"/>
    <w:rsid w:val="56F2454B"/>
    <w:rsid w:val="570D7B15"/>
    <w:rsid w:val="572F1F8E"/>
    <w:rsid w:val="57433C26"/>
    <w:rsid w:val="57533F76"/>
    <w:rsid w:val="57741BE9"/>
    <w:rsid w:val="5779339D"/>
    <w:rsid w:val="577A20BD"/>
    <w:rsid w:val="57934ADE"/>
    <w:rsid w:val="579A6E4B"/>
    <w:rsid w:val="57D756E0"/>
    <w:rsid w:val="5846063D"/>
    <w:rsid w:val="587C5386"/>
    <w:rsid w:val="58CB1A7C"/>
    <w:rsid w:val="58FF5A40"/>
    <w:rsid w:val="59053F8B"/>
    <w:rsid w:val="591901CC"/>
    <w:rsid w:val="593258D9"/>
    <w:rsid w:val="59554E86"/>
    <w:rsid w:val="59583D86"/>
    <w:rsid w:val="59597EA9"/>
    <w:rsid w:val="597849EA"/>
    <w:rsid w:val="59997206"/>
    <w:rsid w:val="59A263E3"/>
    <w:rsid w:val="59B107B1"/>
    <w:rsid w:val="59BC617D"/>
    <w:rsid w:val="59CC7B02"/>
    <w:rsid w:val="59D04CB0"/>
    <w:rsid w:val="59F31862"/>
    <w:rsid w:val="5A4515A2"/>
    <w:rsid w:val="5A494A8A"/>
    <w:rsid w:val="5A850681"/>
    <w:rsid w:val="5A996D40"/>
    <w:rsid w:val="5AA92C03"/>
    <w:rsid w:val="5AA9358F"/>
    <w:rsid w:val="5AD32694"/>
    <w:rsid w:val="5AEE3928"/>
    <w:rsid w:val="5AF94E72"/>
    <w:rsid w:val="5B060518"/>
    <w:rsid w:val="5B326520"/>
    <w:rsid w:val="5BA36B5E"/>
    <w:rsid w:val="5BA85F01"/>
    <w:rsid w:val="5BC84ADB"/>
    <w:rsid w:val="5BD13A83"/>
    <w:rsid w:val="5BD174E4"/>
    <w:rsid w:val="5BE4312C"/>
    <w:rsid w:val="5BF01A4B"/>
    <w:rsid w:val="5C1B78AD"/>
    <w:rsid w:val="5C295DEB"/>
    <w:rsid w:val="5C2E1193"/>
    <w:rsid w:val="5C9339C5"/>
    <w:rsid w:val="5CD34174"/>
    <w:rsid w:val="5CD96386"/>
    <w:rsid w:val="5CE44A27"/>
    <w:rsid w:val="5D0E4876"/>
    <w:rsid w:val="5D191528"/>
    <w:rsid w:val="5D360AFA"/>
    <w:rsid w:val="5D783292"/>
    <w:rsid w:val="5D7F647A"/>
    <w:rsid w:val="5D8B6389"/>
    <w:rsid w:val="5D954264"/>
    <w:rsid w:val="5DA57364"/>
    <w:rsid w:val="5DB728AA"/>
    <w:rsid w:val="5DB84D74"/>
    <w:rsid w:val="5DCE76F6"/>
    <w:rsid w:val="5DE2062A"/>
    <w:rsid w:val="5DE33C5B"/>
    <w:rsid w:val="5E111054"/>
    <w:rsid w:val="5E1C341F"/>
    <w:rsid w:val="5E200698"/>
    <w:rsid w:val="5E437B82"/>
    <w:rsid w:val="5E4928BE"/>
    <w:rsid w:val="5E4E136E"/>
    <w:rsid w:val="5E644C39"/>
    <w:rsid w:val="5E7E7472"/>
    <w:rsid w:val="5E942E9A"/>
    <w:rsid w:val="5E974E19"/>
    <w:rsid w:val="5EB118AE"/>
    <w:rsid w:val="5EC401E5"/>
    <w:rsid w:val="5EF92054"/>
    <w:rsid w:val="5F0276AD"/>
    <w:rsid w:val="5F28124C"/>
    <w:rsid w:val="5F4E5045"/>
    <w:rsid w:val="5F571F90"/>
    <w:rsid w:val="5F765785"/>
    <w:rsid w:val="5F9C01D8"/>
    <w:rsid w:val="5FBD1646"/>
    <w:rsid w:val="5FBD2B40"/>
    <w:rsid w:val="5FC713D7"/>
    <w:rsid w:val="5FEF05AF"/>
    <w:rsid w:val="60076131"/>
    <w:rsid w:val="604F60D9"/>
    <w:rsid w:val="605205E0"/>
    <w:rsid w:val="608B4F8A"/>
    <w:rsid w:val="609A3A11"/>
    <w:rsid w:val="60A62D79"/>
    <w:rsid w:val="60DF3C93"/>
    <w:rsid w:val="61050FE4"/>
    <w:rsid w:val="611F1E2C"/>
    <w:rsid w:val="61275152"/>
    <w:rsid w:val="612F092C"/>
    <w:rsid w:val="61337A12"/>
    <w:rsid w:val="61350405"/>
    <w:rsid w:val="61360574"/>
    <w:rsid w:val="614348DA"/>
    <w:rsid w:val="61777E09"/>
    <w:rsid w:val="61CA6DAB"/>
    <w:rsid w:val="61D77D9E"/>
    <w:rsid w:val="61DA547D"/>
    <w:rsid w:val="61EB7539"/>
    <w:rsid w:val="61F52E51"/>
    <w:rsid w:val="6203514D"/>
    <w:rsid w:val="62332051"/>
    <w:rsid w:val="62675BA9"/>
    <w:rsid w:val="62757A23"/>
    <w:rsid w:val="62766064"/>
    <w:rsid w:val="627E0B4F"/>
    <w:rsid w:val="631C3552"/>
    <w:rsid w:val="63263B75"/>
    <w:rsid w:val="63334067"/>
    <w:rsid w:val="634F7D9D"/>
    <w:rsid w:val="6357203A"/>
    <w:rsid w:val="635B6305"/>
    <w:rsid w:val="636A35D3"/>
    <w:rsid w:val="63705EB7"/>
    <w:rsid w:val="63897DFE"/>
    <w:rsid w:val="639B64FB"/>
    <w:rsid w:val="63B04331"/>
    <w:rsid w:val="63C34C1F"/>
    <w:rsid w:val="63CD61DF"/>
    <w:rsid w:val="63D350D8"/>
    <w:rsid w:val="63DB0532"/>
    <w:rsid w:val="64144D7A"/>
    <w:rsid w:val="64BE5B96"/>
    <w:rsid w:val="64C32497"/>
    <w:rsid w:val="6515449D"/>
    <w:rsid w:val="651E0CCC"/>
    <w:rsid w:val="65341B64"/>
    <w:rsid w:val="65387B35"/>
    <w:rsid w:val="653F2E51"/>
    <w:rsid w:val="656052BB"/>
    <w:rsid w:val="656B5426"/>
    <w:rsid w:val="65787ABF"/>
    <w:rsid w:val="65907A24"/>
    <w:rsid w:val="65F148B6"/>
    <w:rsid w:val="661754B6"/>
    <w:rsid w:val="66461D3C"/>
    <w:rsid w:val="664A2723"/>
    <w:rsid w:val="664C71E4"/>
    <w:rsid w:val="66C667FD"/>
    <w:rsid w:val="66F1006B"/>
    <w:rsid w:val="66FF6DEF"/>
    <w:rsid w:val="672C28DB"/>
    <w:rsid w:val="674F77DF"/>
    <w:rsid w:val="67DA3D2A"/>
    <w:rsid w:val="67E62E0A"/>
    <w:rsid w:val="67E84BF2"/>
    <w:rsid w:val="680A25E1"/>
    <w:rsid w:val="6868341A"/>
    <w:rsid w:val="686C26B5"/>
    <w:rsid w:val="68B9716E"/>
    <w:rsid w:val="68C3525C"/>
    <w:rsid w:val="68C87930"/>
    <w:rsid w:val="68DE0E66"/>
    <w:rsid w:val="68EC3902"/>
    <w:rsid w:val="68ED48D3"/>
    <w:rsid w:val="68F15081"/>
    <w:rsid w:val="690508ED"/>
    <w:rsid w:val="69062C90"/>
    <w:rsid w:val="69317770"/>
    <w:rsid w:val="69732F29"/>
    <w:rsid w:val="69CA0AE7"/>
    <w:rsid w:val="69F06050"/>
    <w:rsid w:val="6A05617E"/>
    <w:rsid w:val="6A352FD4"/>
    <w:rsid w:val="6A3B02C1"/>
    <w:rsid w:val="6A4C51B6"/>
    <w:rsid w:val="6A7438F7"/>
    <w:rsid w:val="6A937C87"/>
    <w:rsid w:val="6ABD2D81"/>
    <w:rsid w:val="6AD31E16"/>
    <w:rsid w:val="6AF91964"/>
    <w:rsid w:val="6AFE3480"/>
    <w:rsid w:val="6B0A10C9"/>
    <w:rsid w:val="6B0F4297"/>
    <w:rsid w:val="6B142536"/>
    <w:rsid w:val="6B4C57A1"/>
    <w:rsid w:val="6B4C79AD"/>
    <w:rsid w:val="6B7837AB"/>
    <w:rsid w:val="6B894288"/>
    <w:rsid w:val="6BAA7695"/>
    <w:rsid w:val="6BBF07FE"/>
    <w:rsid w:val="6BCB26DE"/>
    <w:rsid w:val="6BEF1D92"/>
    <w:rsid w:val="6C0A4AA7"/>
    <w:rsid w:val="6C135B4B"/>
    <w:rsid w:val="6C197822"/>
    <w:rsid w:val="6C1E0DC2"/>
    <w:rsid w:val="6C2062CF"/>
    <w:rsid w:val="6C266C9F"/>
    <w:rsid w:val="6C2F72C6"/>
    <w:rsid w:val="6C455C57"/>
    <w:rsid w:val="6C717EC6"/>
    <w:rsid w:val="6CA43E9F"/>
    <w:rsid w:val="6CA75E9E"/>
    <w:rsid w:val="6CC369D1"/>
    <w:rsid w:val="6CEE311C"/>
    <w:rsid w:val="6CF25075"/>
    <w:rsid w:val="6CFB5911"/>
    <w:rsid w:val="6D231FB3"/>
    <w:rsid w:val="6D45142B"/>
    <w:rsid w:val="6D461B6D"/>
    <w:rsid w:val="6D696C26"/>
    <w:rsid w:val="6D747848"/>
    <w:rsid w:val="6D7D45FA"/>
    <w:rsid w:val="6D8D6200"/>
    <w:rsid w:val="6D914583"/>
    <w:rsid w:val="6DC20590"/>
    <w:rsid w:val="6DD8393F"/>
    <w:rsid w:val="6DED36FF"/>
    <w:rsid w:val="6DF97D77"/>
    <w:rsid w:val="6E2D17C6"/>
    <w:rsid w:val="6E2F3326"/>
    <w:rsid w:val="6E530083"/>
    <w:rsid w:val="6E577770"/>
    <w:rsid w:val="6E607A91"/>
    <w:rsid w:val="6E6327EC"/>
    <w:rsid w:val="6E7D1916"/>
    <w:rsid w:val="6EDC1920"/>
    <w:rsid w:val="6F027D93"/>
    <w:rsid w:val="6F0C5998"/>
    <w:rsid w:val="6F6A2721"/>
    <w:rsid w:val="6F91231A"/>
    <w:rsid w:val="6FAD4991"/>
    <w:rsid w:val="6FE50203"/>
    <w:rsid w:val="700333AA"/>
    <w:rsid w:val="70293A24"/>
    <w:rsid w:val="702D5264"/>
    <w:rsid w:val="702E5A61"/>
    <w:rsid w:val="702F09E4"/>
    <w:rsid w:val="70364A5E"/>
    <w:rsid w:val="70526BAA"/>
    <w:rsid w:val="70865E7B"/>
    <w:rsid w:val="708C5769"/>
    <w:rsid w:val="70AB6996"/>
    <w:rsid w:val="70B750C5"/>
    <w:rsid w:val="70C14816"/>
    <w:rsid w:val="70FC77E4"/>
    <w:rsid w:val="710B217D"/>
    <w:rsid w:val="71186C2C"/>
    <w:rsid w:val="71272E2C"/>
    <w:rsid w:val="713030EA"/>
    <w:rsid w:val="713D55EC"/>
    <w:rsid w:val="71405ADF"/>
    <w:rsid w:val="71804308"/>
    <w:rsid w:val="71A34B18"/>
    <w:rsid w:val="71AA1C4A"/>
    <w:rsid w:val="71AB579A"/>
    <w:rsid w:val="71CA5D30"/>
    <w:rsid w:val="71CD5D63"/>
    <w:rsid w:val="71F91832"/>
    <w:rsid w:val="72071911"/>
    <w:rsid w:val="720A29F4"/>
    <w:rsid w:val="7240231F"/>
    <w:rsid w:val="724A7076"/>
    <w:rsid w:val="72682993"/>
    <w:rsid w:val="729A7699"/>
    <w:rsid w:val="729B5253"/>
    <w:rsid w:val="72CA23C5"/>
    <w:rsid w:val="72F0790D"/>
    <w:rsid w:val="72F100C2"/>
    <w:rsid w:val="73205AC1"/>
    <w:rsid w:val="73254249"/>
    <w:rsid w:val="733E042D"/>
    <w:rsid w:val="733F4DB4"/>
    <w:rsid w:val="73460A75"/>
    <w:rsid w:val="73505624"/>
    <w:rsid w:val="735558AA"/>
    <w:rsid w:val="7365118A"/>
    <w:rsid w:val="737C088B"/>
    <w:rsid w:val="73840D08"/>
    <w:rsid w:val="73D62735"/>
    <w:rsid w:val="73F81178"/>
    <w:rsid w:val="740C42F4"/>
    <w:rsid w:val="741B69BE"/>
    <w:rsid w:val="7437600D"/>
    <w:rsid w:val="745265D3"/>
    <w:rsid w:val="7462224C"/>
    <w:rsid w:val="7465214B"/>
    <w:rsid w:val="7470205F"/>
    <w:rsid w:val="747D70BE"/>
    <w:rsid w:val="74953B08"/>
    <w:rsid w:val="749769E7"/>
    <w:rsid w:val="74A34975"/>
    <w:rsid w:val="74CD404C"/>
    <w:rsid w:val="74CD6A42"/>
    <w:rsid w:val="74D60811"/>
    <w:rsid w:val="74ED2B67"/>
    <w:rsid w:val="74FE31BC"/>
    <w:rsid w:val="75113DD6"/>
    <w:rsid w:val="7516355F"/>
    <w:rsid w:val="75320519"/>
    <w:rsid w:val="75381C11"/>
    <w:rsid w:val="754B019B"/>
    <w:rsid w:val="756F1067"/>
    <w:rsid w:val="7572102C"/>
    <w:rsid w:val="7582580C"/>
    <w:rsid w:val="75D64CE7"/>
    <w:rsid w:val="75E80067"/>
    <w:rsid w:val="75EE476F"/>
    <w:rsid w:val="76084262"/>
    <w:rsid w:val="76484F3A"/>
    <w:rsid w:val="7661046D"/>
    <w:rsid w:val="76944B27"/>
    <w:rsid w:val="76DF23A2"/>
    <w:rsid w:val="76E76666"/>
    <w:rsid w:val="772F5A12"/>
    <w:rsid w:val="773869DF"/>
    <w:rsid w:val="773F2B72"/>
    <w:rsid w:val="77521481"/>
    <w:rsid w:val="777A4BCF"/>
    <w:rsid w:val="778E399E"/>
    <w:rsid w:val="779D7610"/>
    <w:rsid w:val="77D846CE"/>
    <w:rsid w:val="781C5F30"/>
    <w:rsid w:val="783647E9"/>
    <w:rsid w:val="78482C27"/>
    <w:rsid w:val="78651B87"/>
    <w:rsid w:val="786577CE"/>
    <w:rsid w:val="78A433E0"/>
    <w:rsid w:val="78E95C98"/>
    <w:rsid w:val="78EA74BA"/>
    <w:rsid w:val="7903669D"/>
    <w:rsid w:val="79307978"/>
    <w:rsid w:val="793D047C"/>
    <w:rsid w:val="79574DAB"/>
    <w:rsid w:val="7966095A"/>
    <w:rsid w:val="79A474E8"/>
    <w:rsid w:val="79B50F47"/>
    <w:rsid w:val="79C47846"/>
    <w:rsid w:val="79D27888"/>
    <w:rsid w:val="79FA4745"/>
    <w:rsid w:val="79FB6AA1"/>
    <w:rsid w:val="7A02585A"/>
    <w:rsid w:val="7A383113"/>
    <w:rsid w:val="7A533C9B"/>
    <w:rsid w:val="7A5E0636"/>
    <w:rsid w:val="7A695315"/>
    <w:rsid w:val="7AAE1C26"/>
    <w:rsid w:val="7ABB1D21"/>
    <w:rsid w:val="7ADB5841"/>
    <w:rsid w:val="7ADF7EC9"/>
    <w:rsid w:val="7AFA2A3D"/>
    <w:rsid w:val="7B0206C4"/>
    <w:rsid w:val="7B0A166C"/>
    <w:rsid w:val="7B2B04CF"/>
    <w:rsid w:val="7B3B29A3"/>
    <w:rsid w:val="7B3D56F7"/>
    <w:rsid w:val="7B580718"/>
    <w:rsid w:val="7B61437D"/>
    <w:rsid w:val="7BAC0BFE"/>
    <w:rsid w:val="7BAF15EB"/>
    <w:rsid w:val="7BD3612A"/>
    <w:rsid w:val="7BEE278C"/>
    <w:rsid w:val="7BFC2855"/>
    <w:rsid w:val="7C3320F1"/>
    <w:rsid w:val="7C743D23"/>
    <w:rsid w:val="7C8356EF"/>
    <w:rsid w:val="7C937C9D"/>
    <w:rsid w:val="7C9E598D"/>
    <w:rsid w:val="7CA50C29"/>
    <w:rsid w:val="7CB943A4"/>
    <w:rsid w:val="7CD051A1"/>
    <w:rsid w:val="7CE0008D"/>
    <w:rsid w:val="7D0E3E4C"/>
    <w:rsid w:val="7D264B73"/>
    <w:rsid w:val="7D514013"/>
    <w:rsid w:val="7D536213"/>
    <w:rsid w:val="7D5A7D3A"/>
    <w:rsid w:val="7D703FEB"/>
    <w:rsid w:val="7D79057F"/>
    <w:rsid w:val="7D7C6534"/>
    <w:rsid w:val="7D847429"/>
    <w:rsid w:val="7DA05219"/>
    <w:rsid w:val="7DA237B3"/>
    <w:rsid w:val="7DA95F42"/>
    <w:rsid w:val="7DAF72F0"/>
    <w:rsid w:val="7DC168CA"/>
    <w:rsid w:val="7DC5261D"/>
    <w:rsid w:val="7DFE6A77"/>
    <w:rsid w:val="7E1B0718"/>
    <w:rsid w:val="7E435018"/>
    <w:rsid w:val="7E5838A4"/>
    <w:rsid w:val="7E5C7437"/>
    <w:rsid w:val="7E6D0507"/>
    <w:rsid w:val="7E6D4358"/>
    <w:rsid w:val="7E705545"/>
    <w:rsid w:val="7E8B489A"/>
    <w:rsid w:val="7EAB0271"/>
    <w:rsid w:val="7F057D5E"/>
    <w:rsid w:val="7F1A3B0B"/>
    <w:rsid w:val="7F2E5E10"/>
    <w:rsid w:val="7F4A3DB6"/>
    <w:rsid w:val="7F4D12A0"/>
    <w:rsid w:val="7F4D6A80"/>
    <w:rsid w:val="7F6614B3"/>
    <w:rsid w:val="7F9D016E"/>
    <w:rsid w:val="7FAE74AA"/>
    <w:rsid w:val="7FE30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100" w:afterLines="100" w:line="360" w:lineRule="auto"/>
      <w:outlineLvl w:val="0"/>
    </w:pPr>
    <w:rPr>
      <w:rFonts w:eastAsia="黑体"/>
      <w:kern w:val="44"/>
      <w:sz w:val="32"/>
    </w:rPr>
  </w:style>
  <w:style w:type="paragraph" w:styleId="3">
    <w:name w:val="heading 2"/>
    <w:basedOn w:val="1"/>
    <w:next w:val="1"/>
    <w:unhideWhenUsed/>
    <w:qFormat/>
    <w:uiPriority w:val="0"/>
    <w:pPr>
      <w:keepNext/>
      <w:keepLines/>
      <w:spacing w:beforeLines="100" w:afterLines="100" w:line="360" w:lineRule="auto"/>
      <w:ind w:firstLine="440" w:firstLineChars="200"/>
      <w:outlineLvl w:val="1"/>
    </w:pPr>
    <w:rPr>
      <w:rFonts w:ascii="Arial" w:hAnsi="Arial" w:eastAsia="黑体"/>
      <w:sz w:val="28"/>
    </w:rPr>
  </w:style>
  <w:style w:type="paragraph" w:styleId="4">
    <w:name w:val="heading 3"/>
    <w:basedOn w:val="1"/>
    <w:next w:val="1"/>
    <w:link w:val="38"/>
    <w:unhideWhenUsed/>
    <w:qFormat/>
    <w:uiPriority w:val="0"/>
    <w:pPr>
      <w:keepNext/>
      <w:keepLines/>
      <w:spacing w:beforeLines="100" w:afterLines="100" w:line="360" w:lineRule="auto"/>
      <w:ind w:firstLine="440" w:firstLineChars="200"/>
      <w:outlineLvl w:val="2"/>
    </w:pPr>
    <w:rPr>
      <w:rFonts w:eastAsia="黑体"/>
      <w:bCs/>
      <w:sz w:val="24"/>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annotation text"/>
    <w:basedOn w:val="1"/>
    <w:qFormat/>
    <w:uiPriority w:val="0"/>
    <w:pPr>
      <w:jc w:val="left"/>
    </w:pPr>
  </w:style>
  <w:style w:type="paragraph" w:styleId="7">
    <w:name w:val="Body Text Indent"/>
    <w:basedOn w:val="1"/>
    <w:qFormat/>
    <w:uiPriority w:val="0"/>
    <w:pPr>
      <w:spacing w:line="360" w:lineRule="auto"/>
      <w:ind w:firstLine="440" w:firstLineChars="200"/>
    </w:pPr>
    <w:rPr>
      <w:rFonts w:ascii="Times New Roman" w:hAnsi="Times New Roman" w:eastAsia="宋体"/>
      <w:sz w:val="24"/>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ody Text Indent 2"/>
    <w:basedOn w:val="1"/>
    <w:qFormat/>
    <w:uiPriority w:val="0"/>
    <w:pPr>
      <w:spacing w:before="120"/>
      <w:ind w:firstLine="538" w:firstLineChars="196"/>
    </w:pPr>
    <w:rPr>
      <w:sz w:val="28"/>
    </w:rPr>
  </w:style>
  <w:style w:type="paragraph" w:styleId="12">
    <w:name w:val="endnote text"/>
    <w:basedOn w:val="1"/>
    <w:qFormat/>
    <w:uiPriority w:val="0"/>
    <w:pPr>
      <w:snapToGrid w:val="0"/>
      <w:jc w:val="left"/>
    </w:p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39"/>
  </w:style>
  <w:style w:type="paragraph" w:styleId="16">
    <w:name w:val="toc 4"/>
    <w:basedOn w:val="1"/>
    <w:next w:val="1"/>
    <w:qFormat/>
    <w:uiPriority w:val="39"/>
    <w:pPr>
      <w:ind w:left="1260" w:leftChars="600"/>
    </w:pPr>
  </w:style>
  <w:style w:type="paragraph" w:styleId="17">
    <w:name w:val="footnote text"/>
    <w:basedOn w:val="1"/>
    <w:qFormat/>
    <w:uiPriority w:val="0"/>
    <w:pPr>
      <w:snapToGrid w:val="0"/>
      <w:jc w:val="left"/>
    </w:pPr>
    <w:rPr>
      <w:sz w:val="18"/>
    </w:rPr>
  </w:style>
  <w:style w:type="paragraph" w:styleId="18">
    <w:name w:val="toc 6"/>
    <w:basedOn w:val="1"/>
    <w:next w:val="1"/>
    <w:unhideWhenUsed/>
    <w:qFormat/>
    <w:uiPriority w:val="39"/>
    <w:pPr>
      <w:ind w:left="2100" w:leftChars="1000"/>
    </w:pPr>
    <w:rPr>
      <w:szCs w:val="22"/>
    </w:rPr>
  </w:style>
  <w:style w:type="paragraph" w:styleId="19">
    <w:name w:val="toc 2"/>
    <w:basedOn w:val="1"/>
    <w:next w:val="1"/>
    <w:qFormat/>
    <w:uiPriority w:val="39"/>
    <w:pPr>
      <w:ind w:left="420" w:leftChars="200"/>
    </w:pPr>
  </w:style>
  <w:style w:type="paragraph" w:styleId="20">
    <w:name w:val="toc 9"/>
    <w:basedOn w:val="1"/>
    <w:next w:val="1"/>
    <w:unhideWhenUsed/>
    <w:qFormat/>
    <w:uiPriority w:val="39"/>
    <w:pPr>
      <w:ind w:left="3360" w:leftChars="1600"/>
    </w:pPr>
    <w:rPr>
      <w:szCs w:val="22"/>
    </w:rPr>
  </w:style>
  <w:style w:type="paragraph" w:styleId="21">
    <w:name w:val="Normal (Web)"/>
    <w:basedOn w:val="1"/>
    <w:qFormat/>
    <w:uiPriority w:val="0"/>
    <w:pPr>
      <w:spacing w:beforeAutospacing="1" w:afterAutospacing="1"/>
      <w:jc w:val="left"/>
    </w:pPr>
    <w:rPr>
      <w:rFonts w:cs="Times New Roman"/>
      <w:kern w:val="0"/>
      <w:sz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basedOn w:val="24"/>
    <w:qFormat/>
    <w:uiPriority w:val="0"/>
    <w:rPr>
      <w:vertAlign w:val="superscript"/>
    </w:rPr>
  </w:style>
  <w:style w:type="character" w:styleId="26">
    <w:name w:val="page number"/>
    <w:basedOn w:val="24"/>
    <w:qFormat/>
    <w:uiPriority w:val="0"/>
  </w:style>
  <w:style w:type="character" w:styleId="27">
    <w:name w:val="FollowedHyperlink"/>
    <w:basedOn w:val="24"/>
    <w:qFormat/>
    <w:uiPriority w:val="0"/>
    <w:rPr>
      <w:color w:val="2B2B2B"/>
      <w:u w:val="none"/>
    </w:rPr>
  </w:style>
  <w:style w:type="character" w:styleId="28">
    <w:name w:val="Emphasis"/>
    <w:basedOn w:val="24"/>
    <w:qFormat/>
    <w:uiPriority w:val="0"/>
  </w:style>
  <w:style w:type="character" w:styleId="29">
    <w:name w:val="HTML Definition"/>
    <w:basedOn w:val="24"/>
    <w:qFormat/>
    <w:uiPriority w:val="0"/>
  </w:style>
  <w:style w:type="character" w:styleId="30">
    <w:name w:val="HTML Variable"/>
    <w:basedOn w:val="24"/>
    <w:qFormat/>
    <w:uiPriority w:val="0"/>
  </w:style>
  <w:style w:type="character" w:styleId="31">
    <w:name w:val="Hyperlink"/>
    <w:basedOn w:val="24"/>
    <w:unhideWhenUsed/>
    <w:qFormat/>
    <w:uiPriority w:val="99"/>
    <w:rPr>
      <w:color w:val="0563C1" w:themeColor="hyperlink"/>
      <w:u w:val="single"/>
      <w14:textFill>
        <w14:solidFill>
          <w14:schemeClr w14:val="hlink"/>
        </w14:solidFill>
      </w14:textFill>
    </w:rPr>
  </w:style>
  <w:style w:type="character" w:styleId="32">
    <w:name w:val="HTML Code"/>
    <w:basedOn w:val="24"/>
    <w:qFormat/>
    <w:uiPriority w:val="0"/>
    <w:rPr>
      <w:rFonts w:ascii="Courier New" w:hAnsi="Courier New"/>
      <w:sz w:val="20"/>
    </w:rPr>
  </w:style>
  <w:style w:type="character" w:styleId="33">
    <w:name w:val="annotation reference"/>
    <w:qFormat/>
    <w:uiPriority w:val="0"/>
    <w:rPr>
      <w:sz w:val="21"/>
      <w:szCs w:val="21"/>
    </w:rPr>
  </w:style>
  <w:style w:type="character" w:styleId="34">
    <w:name w:val="HTML Cite"/>
    <w:basedOn w:val="24"/>
    <w:qFormat/>
    <w:uiPriority w:val="0"/>
  </w:style>
  <w:style w:type="character" w:styleId="35">
    <w:name w:val="footnote reference"/>
    <w:basedOn w:val="24"/>
    <w:qFormat/>
    <w:uiPriority w:val="0"/>
    <w:rPr>
      <w:vertAlign w:val="superscript"/>
    </w:rPr>
  </w:style>
  <w:style w:type="character" w:styleId="36">
    <w:name w:val="HTML Keyboard"/>
    <w:basedOn w:val="24"/>
    <w:qFormat/>
    <w:uiPriority w:val="0"/>
    <w:rPr>
      <w:rFonts w:ascii="Courier New" w:hAnsi="Courier New"/>
      <w:sz w:val="20"/>
    </w:rPr>
  </w:style>
  <w:style w:type="character" w:styleId="37">
    <w:name w:val="HTML Sample"/>
    <w:basedOn w:val="24"/>
    <w:qFormat/>
    <w:uiPriority w:val="0"/>
    <w:rPr>
      <w:rFonts w:ascii="Courier New" w:hAnsi="Courier New"/>
    </w:rPr>
  </w:style>
  <w:style w:type="character" w:customStyle="1" w:styleId="38">
    <w:name w:val="标题 3 Char"/>
    <w:basedOn w:val="24"/>
    <w:link w:val="4"/>
    <w:semiHidden/>
    <w:qFormat/>
    <w:uiPriority w:val="0"/>
    <w:rPr>
      <w:rFonts w:eastAsia="黑体" w:asciiTheme="minorHAnsi" w:hAnsiTheme="minorHAnsi" w:cstheme="minorBidi"/>
      <w:bCs/>
      <w:kern w:val="2"/>
      <w:sz w:val="24"/>
      <w:szCs w:val="32"/>
    </w:rPr>
  </w:style>
  <w:style w:type="character" w:customStyle="1" w:styleId="39">
    <w:name w:val="reward_author"/>
    <w:basedOn w:val="24"/>
    <w:qFormat/>
    <w:uiPriority w:val="0"/>
  </w:style>
  <w:style w:type="paragraph" w:customStyle="1" w:styleId="4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5.wmf"/><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4.wmf"/><Relationship Id="rId27" Type="http://schemas.openxmlformats.org/officeDocument/2006/relationships/oleObject" Target="embeddings/oleObject4.bin"/><Relationship Id="rId26" Type="http://schemas.openxmlformats.org/officeDocument/2006/relationships/image" Target="media/image3.wmf"/><Relationship Id="rId25" Type="http://schemas.openxmlformats.org/officeDocument/2006/relationships/oleObject" Target="embeddings/oleObject3.bin"/><Relationship Id="rId24" Type="http://schemas.openxmlformats.org/officeDocument/2006/relationships/image" Target="media/image2.wmf"/><Relationship Id="rId23" Type="http://schemas.openxmlformats.org/officeDocument/2006/relationships/oleObject" Target="embeddings/oleObject2.bin"/><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chart" Target="charts/chart2.xml"/><Relationship Id="rId2" Type="http://schemas.openxmlformats.org/officeDocument/2006/relationships/settings" Target="settings.xml"/><Relationship Id="rId19" Type="http://schemas.openxmlformats.org/officeDocument/2006/relationships/chart" Target="charts/chart1.xml"/><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2439;&#32321;&#22810;&#24425;.wpt"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0645070160836"/>
          <c:y val="0.125678733413141"/>
          <c:w val="0.702699622440245"/>
          <c:h val="0.670902039453394"/>
        </c:manualLayout>
      </c:layout>
      <c:lineChart>
        <c:grouping val="standard"/>
        <c:varyColors val="0"/>
        <c:ser>
          <c:idx val="0"/>
          <c:order val="0"/>
          <c:tx>
            <c:strRef>
              <c:f>Sheet1!$A$2</c:f>
              <c:strCache>
                <c:ptCount val="1"/>
                <c:pt idx="0">
                  <c:v>济 南 市</c:v>
                </c:pt>
              </c:strCache>
            </c:strRef>
          </c:tx>
          <c:spPr>
            <a:ln w="19050" cap="rnd" cmpd="sng" algn="ctr">
              <a:solidFill>
                <a:schemeClr val="tx1"/>
              </a:solidFill>
              <a:prstDash val="sysDot"/>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Sheet1!$B$2:$X$2</c:f>
              <c:numCache>
                <c:formatCode>General</c:formatCode>
                <c:ptCount val="23"/>
                <c:pt idx="0">
                  <c:v>4636</c:v>
                </c:pt>
                <c:pt idx="1">
                  <c:v>4888</c:v>
                </c:pt>
                <c:pt idx="2">
                  <c:v>5111</c:v>
                </c:pt>
                <c:pt idx="3">
                  <c:v>5105</c:v>
                </c:pt>
                <c:pt idx="4">
                  <c:v>5524</c:v>
                </c:pt>
                <c:pt idx="5">
                  <c:v>5329</c:v>
                </c:pt>
                <c:pt idx="6">
                  <c:v>5516</c:v>
                </c:pt>
                <c:pt idx="7">
                  <c:v>4966</c:v>
                </c:pt>
                <c:pt idx="8">
                  <c:v>5073</c:v>
                </c:pt>
                <c:pt idx="9">
                  <c:v>4158</c:v>
                </c:pt>
                <c:pt idx="10">
                  <c:v>5014</c:v>
                </c:pt>
                <c:pt idx="11">
                  <c:v>5498</c:v>
                </c:pt>
                <c:pt idx="12">
                  <c:v>5656</c:v>
                </c:pt>
                <c:pt idx="13">
                  <c:v>5793</c:v>
                </c:pt>
                <c:pt idx="14">
                  <c:v>5793</c:v>
                </c:pt>
                <c:pt idx="15">
                  <c:v>5933</c:v>
                </c:pt>
                <c:pt idx="16">
                  <c:v>5749</c:v>
                </c:pt>
                <c:pt idx="17">
                  <c:v>5838</c:v>
                </c:pt>
                <c:pt idx="18">
                  <c:v>5978</c:v>
                </c:pt>
                <c:pt idx="19">
                  <c:v>6032</c:v>
                </c:pt>
                <c:pt idx="20">
                  <c:v>5886.43</c:v>
                </c:pt>
                <c:pt idx="21">
                  <c:v>6002.43320139329</c:v>
                </c:pt>
                <c:pt idx="22">
                  <c:v>6182.49485069886</c:v>
                </c:pt>
              </c:numCache>
            </c:numRef>
          </c:val>
          <c:smooth val="0"/>
        </c:ser>
        <c:ser>
          <c:idx val="1"/>
          <c:order val="1"/>
          <c:tx>
            <c:strRef>
              <c:f>Sheet1!$A$3</c:f>
              <c:strCache>
                <c:ptCount val="1"/>
                <c:pt idx="0">
                  <c:v>青 岛 市</c:v>
                </c:pt>
              </c:strCache>
            </c:strRef>
          </c:tx>
          <c:spPr>
            <a:ln w="15875" cap="rnd" cmpd="sng" algn="ctr">
              <a:solidFill>
                <a:schemeClr val="tx1"/>
              </a:solidFill>
              <a:prstDash val="solid"/>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Sheet1!$B$3:$X$3</c:f>
              <c:numCache>
                <c:formatCode>General</c:formatCode>
                <c:ptCount val="23"/>
                <c:pt idx="0">
                  <c:v>5294</c:v>
                </c:pt>
                <c:pt idx="1">
                  <c:v>5313</c:v>
                </c:pt>
                <c:pt idx="2">
                  <c:v>5675</c:v>
                </c:pt>
                <c:pt idx="3">
                  <c:v>5698</c:v>
                </c:pt>
                <c:pt idx="4">
                  <c:v>5926</c:v>
                </c:pt>
                <c:pt idx="5">
                  <c:v>6297</c:v>
                </c:pt>
                <c:pt idx="6">
                  <c:v>6095</c:v>
                </c:pt>
                <c:pt idx="7">
                  <c:v>6029</c:v>
                </c:pt>
                <c:pt idx="8">
                  <c:v>5864</c:v>
                </c:pt>
                <c:pt idx="9">
                  <c:v>5651</c:v>
                </c:pt>
                <c:pt idx="10">
                  <c:v>5944</c:v>
                </c:pt>
                <c:pt idx="11">
                  <c:v>6181</c:v>
                </c:pt>
                <c:pt idx="12">
                  <c:v>5986</c:v>
                </c:pt>
                <c:pt idx="13">
                  <c:v>6095</c:v>
                </c:pt>
                <c:pt idx="14">
                  <c:v>6095</c:v>
                </c:pt>
                <c:pt idx="15">
                  <c:v>6220</c:v>
                </c:pt>
                <c:pt idx="16">
                  <c:v>6479</c:v>
                </c:pt>
                <c:pt idx="17">
                  <c:v>6186</c:v>
                </c:pt>
                <c:pt idx="18">
                  <c:v>6118</c:v>
                </c:pt>
                <c:pt idx="19">
                  <c:v>6088</c:v>
                </c:pt>
                <c:pt idx="20">
                  <c:v>6047.6</c:v>
                </c:pt>
                <c:pt idx="21">
                  <c:v>6160.48780837076</c:v>
                </c:pt>
                <c:pt idx="22">
                  <c:v>6242.52324478179</c:v>
                </c:pt>
              </c:numCache>
            </c:numRef>
          </c:val>
          <c:smooth val="0"/>
        </c:ser>
        <c:ser>
          <c:idx val="2"/>
          <c:order val="2"/>
          <c:tx>
            <c:strRef>
              <c:f>Sheet1!$A$4</c:f>
              <c:strCache>
                <c:ptCount val="1"/>
                <c:pt idx="0">
                  <c:v>淄 博 市</c:v>
                </c:pt>
              </c:strCache>
            </c:strRef>
          </c:tx>
          <c:spPr>
            <a:ln w="25400" cap="rnd" cmpd="sng" algn="ctr">
              <a:solidFill>
                <a:schemeClr val="tx1">
                  <a:lumMod val="65000"/>
                  <a:lumOff val="35000"/>
                </a:schemeClr>
              </a:solidFill>
              <a:prstDash val="dash"/>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Sheet1!$B$4:$X$4</c:f>
              <c:numCache>
                <c:formatCode>General</c:formatCode>
                <c:ptCount val="23"/>
                <c:pt idx="0">
                  <c:v>5411</c:v>
                </c:pt>
                <c:pt idx="1">
                  <c:v>5412</c:v>
                </c:pt>
                <c:pt idx="2">
                  <c:v>5728</c:v>
                </c:pt>
                <c:pt idx="3">
                  <c:v>5825</c:v>
                </c:pt>
                <c:pt idx="4">
                  <c:v>6022</c:v>
                </c:pt>
                <c:pt idx="5">
                  <c:v>6131</c:v>
                </c:pt>
                <c:pt idx="6">
                  <c:v>5726</c:v>
                </c:pt>
                <c:pt idx="7">
                  <c:v>5602</c:v>
                </c:pt>
                <c:pt idx="8">
                  <c:v>5540</c:v>
                </c:pt>
                <c:pt idx="9">
                  <c:v>4465</c:v>
                </c:pt>
                <c:pt idx="10">
                  <c:v>5634</c:v>
                </c:pt>
                <c:pt idx="11">
                  <c:v>5988</c:v>
                </c:pt>
                <c:pt idx="12">
                  <c:v>6025</c:v>
                </c:pt>
                <c:pt idx="13">
                  <c:v>6051</c:v>
                </c:pt>
                <c:pt idx="14">
                  <c:v>6051</c:v>
                </c:pt>
                <c:pt idx="15">
                  <c:v>6231</c:v>
                </c:pt>
                <c:pt idx="16">
                  <c:v>5367</c:v>
                </c:pt>
                <c:pt idx="17">
                  <c:v>6196</c:v>
                </c:pt>
                <c:pt idx="18">
                  <c:v>6289</c:v>
                </c:pt>
                <c:pt idx="19">
                  <c:v>6203</c:v>
                </c:pt>
                <c:pt idx="20">
                  <c:v>6284.88</c:v>
                </c:pt>
                <c:pt idx="21">
                  <c:v>6461.39667568641</c:v>
                </c:pt>
                <c:pt idx="22">
                  <c:v>6562.04548416526</c:v>
                </c:pt>
              </c:numCache>
            </c:numRef>
          </c:val>
          <c:smooth val="0"/>
        </c:ser>
        <c:ser>
          <c:idx val="3"/>
          <c:order val="3"/>
          <c:tx>
            <c:strRef>
              <c:f>Sheet1!$A$5</c:f>
              <c:strCache>
                <c:ptCount val="1"/>
                <c:pt idx="0">
                  <c:v>枣 庄 市</c:v>
                </c:pt>
              </c:strCache>
            </c:strRef>
          </c:tx>
          <c:spPr>
            <a:ln w="25400" cap="rnd" cmpd="dbl" algn="ctr">
              <a:solidFill>
                <a:schemeClr val="tx1"/>
              </a:solidFill>
              <a:prstDash val="dash"/>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Sheet1!$B$5:$X$5</c:f>
              <c:numCache>
                <c:formatCode>General</c:formatCode>
                <c:ptCount val="23"/>
                <c:pt idx="0">
                  <c:v>5358</c:v>
                </c:pt>
                <c:pt idx="1">
                  <c:v>5596</c:v>
                </c:pt>
                <c:pt idx="2">
                  <c:v>5898</c:v>
                </c:pt>
                <c:pt idx="3">
                  <c:v>6163</c:v>
                </c:pt>
                <c:pt idx="4">
                  <c:v>6444</c:v>
                </c:pt>
                <c:pt idx="5">
                  <c:v>4529</c:v>
                </c:pt>
                <c:pt idx="6">
                  <c:v>6376</c:v>
                </c:pt>
                <c:pt idx="7">
                  <c:v>4827</c:v>
                </c:pt>
                <c:pt idx="8">
                  <c:v>5164</c:v>
                </c:pt>
                <c:pt idx="9">
                  <c:v>5249</c:v>
                </c:pt>
                <c:pt idx="10">
                  <c:v>5623</c:v>
                </c:pt>
                <c:pt idx="11">
                  <c:v>6175</c:v>
                </c:pt>
                <c:pt idx="12">
                  <c:v>6300</c:v>
                </c:pt>
                <c:pt idx="13">
                  <c:v>6470</c:v>
                </c:pt>
                <c:pt idx="14">
                  <c:v>6470</c:v>
                </c:pt>
                <c:pt idx="15">
                  <c:v>6530</c:v>
                </c:pt>
                <c:pt idx="16">
                  <c:v>6575</c:v>
                </c:pt>
                <c:pt idx="17">
                  <c:v>6706</c:v>
                </c:pt>
                <c:pt idx="18">
                  <c:v>6167</c:v>
                </c:pt>
                <c:pt idx="19">
                  <c:v>6114</c:v>
                </c:pt>
                <c:pt idx="20">
                  <c:v>6033.17</c:v>
                </c:pt>
                <c:pt idx="21">
                  <c:v>6089.55</c:v>
                </c:pt>
                <c:pt idx="22">
                  <c:v>6186.38753557474</c:v>
                </c:pt>
              </c:numCache>
            </c:numRef>
          </c:val>
          <c:smooth val="0"/>
        </c:ser>
        <c:dLbls>
          <c:showLegendKey val="0"/>
          <c:showVal val="0"/>
          <c:showCatName val="0"/>
          <c:showSerName val="0"/>
          <c:showPercent val="0"/>
          <c:showBubbleSize val="0"/>
        </c:dLbls>
        <c:marker val="0"/>
        <c:smooth val="0"/>
        <c:axId val="281136768"/>
        <c:axId val="281137328"/>
      </c:lineChart>
      <c:catAx>
        <c:axId val="28113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p>
        </c:txPr>
        <c:crossAx val="281137328"/>
        <c:crosses val="autoZero"/>
        <c:auto val="1"/>
        <c:lblAlgn val="ctr"/>
        <c:lblOffset val="100"/>
        <c:noMultiLvlLbl val="0"/>
      </c:catAx>
      <c:valAx>
        <c:axId val="281137328"/>
        <c:scaling>
          <c:orientation val="minMax"/>
          <c:min val="3000"/>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单产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公顷</a:t>
                </a:r>
                <a:endParaRPr lang="zh-CN" altLang="en-US">
                  <a:latin typeface="宋体" panose="02010600030101010101" charset="-122"/>
                  <a:ea typeface="宋体" panose="02010600030101010101" charset="-122"/>
                </a:endParaRPr>
              </a:p>
            </c:rich>
          </c:tx>
          <c:layout>
            <c:manualLayout>
              <c:xMode val="edge"/>
              <c:yMode val="edge"/>
              <c:x val="0.0635749285605511"/>
              <c:y val="0.0268014406937354"/>
            </c:manualLayout>
          </c:layout>
          <c:overlay val="0"/>
          <c:spPr>
            <a:noFill/>
            <a:ln>
              <a:noFill/>
            </a:ln>
            <a:effectLst/>
          </c:spPr>
        </c:title>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p>
        </c:txPr>
        <c:crossAx val="281136768"/>
        <c:crosses val="autoZero"/>
        <c:crossBetween val="between"/>
      </c:valAx>
      <c:spPr>
        <a:noFill/>
        <a:ln>
          <a:noFill/>
        </a:ln>
        <a:effectLst/>
      </c:spPr>
    </c:plotArea>
    <c:legend>
      <c:legendPos val="b"/>
      <c:layout>
        <c:manualLayout>
          <c:xMode val="edge"/>
          <c:yMode val="edge"/>
          <c:x val="0.140500653166007"/>
          <c:y val="0.920141968335329"/>
          <c:w val="0.737201365187713"/>
          <c:h val="0.060333829538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18684082489846"/>
          <c:y val="0.16001075166809"/>
          <c:w val="0.720209904447518"/>
          <c:h val="0.654046444314649"/>
        </c:manualLayout>
      </c:layout>
      <c:barChart>
        <c:barDir val="col"/>
        <c:grouping val="clustered"/>
        <c:varyColors val="0"/>
        <c:ser>
          <c:idx val="0"/>
          <c:order val="0"/>
          <c:tx>
            <c:strRef>
              <c:f>Sheet1!$C$1</c:f>
              <c:strCache>
                <c:ptCount val="1"/>
                <c:pt idx="0">
                  <c:v>实际产量</c:v>
                </c:pt>
              </c:strCache>
            </c:strRef>
          </c:tx>
          <c:spPr>
            <a:pattFill prst="pct75">
              <a:fgClr>
                <a:schemeClr val="tx1">
                  <a:lumMod val="65000"/>
                  <a:lumOff val="35000"/>
                </a:schemeClr>
              </a:fgClr>
              <a:bgClr>
                <a:schemeClr val="bg1"/>
              </a:bgClr>
            </a:pattFill>
            <a:ln>
              <a:noFill/>
            </a:ln>
            <a:effectLst/>
          </c:spPr>
          <c:invertIfNegative val="0"/>
          <c:dLbls>
            <c:delete val="1"/>
          </c:dLbls>
          <c:cat>
            <c:strRef>
              <c:f>Sheet1!$B$2:$B$5</c:f>
              <c:strCache>
                <c:ptCount val="4"/>
                <c:pt idx="0">
                  <c:v>滨州市</c:v>
                </c:pt>
                <c:pt idx="1">
                  <c:v>德州市</c:v>
                </c:pt>
                <c:pt idx="2">
                  <c:v>东营市</c:v>
                </c:pt>
                <c:pt idx="3">
                  <c:v>菏泽市</c:v>
                </c:pt>
              </c:strCache>
            </c:strRef>
          </c:cat>
          <c:val>
            <c:numRef>
              <c:f>Sheet1!$C$2:$C$5</c:f>
              <c:numCache>
                <c:formatCode>General</c:formatCode>
                <c:ptCount val="4"/>
                <c:pt idx="0">
                  <c:v>4061</c:v>
                </c:pt>
                <c:pt idx="1">
                  <c:v>5693</c:v>
                </c:pt>
                <c:pt idx="2">
                  <c:v>4440</c:v>
                </c:pt>
                <c:pt idx="3">
                  <c:v>4489</c:v>
                </c:pt>
              </c:numCache>
            </c:numRef>
          </c:val>
        </c:ser>
        <c:ser>
          <c:idx val="1"/>
          <c:order val="1"/>
          <c:tx>
            <c:strRef>
              <c:f>Sheet1!$D$1</c:f>
              <c:strCache>
                <c:ptCount val="1"/>
                <c:pt idx="0">
                  <c:v>趋势产量</c:v>
                </c:pt>
              </c:strCache>
            </c:strRef>
          </c:tx>
          <c:spPr>
            <a:pattFill prst="dkDnDiag">
              <a:fgClr>
                <a:schemeClr val="tx1">
                  <a:lumMod val="65000"/>
                  <a:lumOff val="35000"/>
                </a:schemeClr>
              </a:fgClr>
              <a:bgClr>
                <a:schemeClr val="bg1"/>
              </a:bgClr>
            </a:pattFill>
            <a:ln>
              <a:noFill/>
            </a:ln>
            <a:effectLst/>
          </c:spPr>
          <c:invertIfNegative val="0"/>
          <c:dLbls>
            <c:delete val="1"/>
          </c:dLbls>
          <c:cat>
            <c:strRef>
              <c:f>Sheet1!$B$2:$B$5</c:f>
              <c:strCache>
                <c:ptCount val="4"/>
                <c:pt idx="0">
                  <c:v>滨州市</c:v>
                </c:pt>
                <c:pt idx="1">
                  <c:v>德州市</c:v>
                </c:pt>
                <c:pt idx="2">
                  <c:v>东营市</c:v>
                </c:pt>
                <c:pt idx="3">
                  <c:v>菏泽市</c:v>
                </c:pt>
              </c:strCache>
            </c:strRef>
          </c:cat>
          <c:val>
            <c:numRef>
              <c:f>Sheet1!$D$2:$D$5</c:f>
              <c:numCache>
                <c:formatCode>General</c:formatCode>
                <c:ptCount val="4"/>
                <c:pt idx="0">
                  <c:v>4440.82427762322</c:v>
                </c:pt>
                <c:pt idx="1">
                  <c:v>5731.20566050012</c:v>
                </c:pt>
                <c:pt idx="2">
                  <c:v>4384.44469755433</c:v>
                </c:pt>
                <c:pt idx="3">
                  <c:v>4833.09077451344</c:v>
                </c:pt>
              </c:numCache>
            </c:numRef>
          </c:val>
        </c:ser>
        <c:dLbls>
          <c:showLegendKey val="0"/>
          <c:showVal val="0"/>
          <c:showCatName val="0"/>
          <c:showSerName val="0"/>
          <c:showPercent val="0"/>
          <c:showBubbleSize val="0"/>
        </c:dLbls>
        <c:gapWidth val="219"/>
        <c:overlap val="-27"/>
        <c:axId val="280394864"/>
        <c:axId val="467806512"/>
      </c:barChart>
      <c:catAx>
        <c:axId val="28039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7806512"/>
        <c:crosses val="autoZero"/>
        <c:auto val="1"/>
        <c:lblAlgn val="ctr"/>
        <c:lblOffset val="100"/>
        <c:noMultiLvlLbl val="0"/>
      </c:catAx>
      <c:valAx>
        <c:axId val="467806512"/>
        <c:scaling>
          <c:orientation val="minMax"/>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产量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亩</a:t>
                </a:r>
                <a:endParaRPr lang="zh-CN" altLang="en-US">
                  <a:latin typeface="宋体" panose="02010600030101010101" charset="-122"/>
                  <a:ea typeface="宋体" panose="02010600030101010101" charset="-122"/>
                </a:endParaRPr>
              </a:p>
            </c:rich>
          </c:tx>
          <c:layout>
            <c:manualLayout>
              <c:xMode val="edge"/>
              <c:yMode val="edge"/>
              <c:x val="0.100114552122756"/>
              <c:y val="0.0628276887075864"/>
            </c:manualLayout>
          </c:layout>
          <c:overlay val="0"/>
          <c:spPr>
            <a:noFill/>
            <a:ln>
              <a:noFill/>
            </a:ln>
            <a:effectLst/>
          </c:spPr>
        </c:title>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mn-ea"/>
                <a:cs typeface="Times New Roman" panose="02020603050405020304" charset="0"/>
              </a:defRPr>
            </a:pPr>
          </a:p>
        </c:txPr>
        <c:crossAx val="280394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142A38-BED5-417D-A984-165193FDC87B}">
  <ds:schemaRefs/>
</ds:datastoreItem>
</file>

<file path=docProps/app.xml><?xml version="1.0" encoding="utf-8"?>
<Properties xmlns="http://schemas.openxmlformats.org/officeDocument/2006/extended-properties" xmlns:vt="http://schemas.openxmlformats.org/officeDocument/2006/docPropsVTypes">
  <Template>纷繁多彩.wpt</Template>
  <Company>China</Company>
  <Pages>25</Pages>
  <Words>3175</Words>
  <Characters>18099</Characters>
  <Lines>150</Lines>
  <Paragraphs>42</Paragraphs>
  <TotalTime>1</TotalTime>
  <ScaleCrop>false</ScaleCrop>
  <LinksUpToDate>false</LinksUpToDate>
  <CharactersWithSpaces>21232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2020-12-02T01:35:00Z</dcterms:created>
  <dc:creator>Administrator</dc:creator>
  <cp:lastModifiedBy>锦瑟</cp:lastModifiedBy>
  <dcterms:modified xsi:type="dcterms:W3CDTF">2020-12-02T12:29:30Z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